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驻马店博物馆绿色建筑评价室外风环境模拟计算分析报告说明</w:t>
      </w:r>
    </w:p>
    <w:p>
      <w:pPr>
        <w:spacing w:before="120" w:after="120" w:line="288" w:lineRule="auto"/>
        <w:ind w:left="0"/>
        <w:jc w:val="left"/>
      </w:pPr>
      <w:r>
        <w:rPr>
          <w:rFonts w:eastAsia="等线" w:ascii="Arial" w:cs="Arial" w:hAnsi="Arial"/>
          <w:sz w:val="22"/>
        </w:rPr>
        <w:t>文档编号：ZMD-BWG-FH-MN-20221115</w:t>
      </w:r>
    </w:p>
    <w:p>
      <w:pPr>
        <w:spacing w:before="120" w:after="120" w:line="288" w:lineRule="auto"/>
        <w:ind w:left="0"/>
        <w:jc w:val="left"/>
      </w:pPr>
      <w:r>
        <w:rPr>
          <w:rFonts w:eastAsia="等线" w:ascii="Arial" w:cs="Arial" w:hAnsi="Arial"/>
          <w:sz w:val="22"/>
        </w:rPr>
        <w:t>填报单位：驻马店博物馆（统一社会信用代码：12411700418345863W）</w:t>
      </w:r>
    </w:p>
    <w:p>
      <w:pPr>
        <w:spacing w:before="120" w:after="120" w:line="288" w:lineRule="auto"/>
        <w:ind w:left="0"/>
        <w:jc w:val="left"/>
      </w:pPr>
      <w:r>
        <w:rPr>
          <w:rFonts w:eastAsia="等线" w:ascii="Arial" w:cs="Arial" w:hAnsi="Arial"/>
          <w:sz w:val="22"/>
        </w:rPr>
        <w:t>模拟单位：河南中测工程检测有限公司（资质等级：甲级，资质证书编号：CMA20224100893）</w:t>
      </w:r>
    </w:p>
    <w:p>
      <w:pPr>
        <w:spacing w:before="120" w:after="120" w:line="288" w:lineRule="auto"/>
        <w:ind w:left="0"/>
        <w:jc w:val="left"/>
      </w:pPr>
      <w:r>
        <w:rPr>
          <w:rFonts w:eastAsia="等线" w:ascii="Arial" w:cs="Arial" w:hAnsi="Arial"/>
          <w:sz w:val="22"/>
        </w:rPr>
        <w:t>规划设计单位：河南省建筑设计研究院有限公司（资质等级：甲级，资质证书编号：A141002871）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模拟计算日期：2022年11月5日-2022年11月14日</w:t>
      </w:r>
    </w:p>
    <w:p>
      <w:pPr>
        <w:spacing w:before="120" w:after="120" w:line="288" w:lineRule="auto"/>
        <w:ind w:left="0"/>
        <w:jc w:val="left"/>
      </w:pPr>
      <w:r>
        <w:rPr>
          <w:rFonts w:eastAsia="等线" w:ascii="Arial" w:cs="Arial" w:hAnsi="Arial"/>
          <w:sz w:val="22"/>
        </w:rPr>
        <w:t>编制日期：2024年3月18日</w:t>
      </w:r>
    </w:p>
    <w:p>
      <w:pPr>
        <w:spacing w:before="120" w:after="120" w:line="288" w:lineRule="auto"/>
        <w:ind w:left="0"/>
        <w:jc w:val="left"/>
      </w:pPr>
      <w:r>
        <w:rPr>
          <w:rFonts w:eastAsia="等线" w:ascii="Arial" w:cs="Arial" w:hAnsi="Arial"/>
          <w:sz w:val="22"/>
        </w:rPr>
        <w:t>用途：本说明为驻马店博物馆绿色建筑二星级评价室外风环境模拟计算分析专项报告说明，针对场馆室外风环境开展专项模拟计算，结合驻马店市气候特征、场馆场地布局及周边地形地貌，采用专业模拟软件开展计算分析，所有模拟数据真实可核查、可追溯，严格遵循《绿色建筑评价标准》（GB/T 50378-2019）、《民用建筑绿色性能计算标准》（JGJ/T 449-2018）、《建筑环境数值模拟技术规程》（JGJ/T 349-2016）及河南省、驻马店市绿建评价相关规定，直接适配绿建评价系统填报，为场馆绿建二星级评价中“环境与宜居”“节能与能源利用”指标提供室外风环境模拟类核心佐证依据，确保评价过程合规、数据真实有效。</w:t>
      </w:r>
    </w:p>
    <w:p>
      <w:pPr>
        <w:pStyle w:val="2"/>
        <w:spacing w:before="320" w:after="120" w:line="288" w:lineRule="auto"/>
        <w:ind w:left="0"/>
        <w:jc w:val="left"/>
        <w:outlineLvl w:val="1"/>
      </w:pPr>
      <w:bookmarkStart w:name="heading_0" w:id="0"/>
      <w:r>
        <w:rPr>
          <w:rFonts w:eastAsia="等线" w:ascii="Arial" w:cs="Arial" w:hAnsi="Arial"/>
          <w:b w:val="true"/>
          <w:sz w:val="32"/>
        </w:rPr>
        <w:t>一、模拟计算概况</w:t>
      </w:r>
      <w:bookmarkEnd w:id="0"/>
    </w:p>
    <w:p>
      <w:pPr>
        <w:spacing w:before="120" w:after="120" w:line="288" w:lineRule="auto"/>
        <w:ind w:left="0"/>
        <w:jc w:val="left"/>
      </w:pPr>
      <w:r>
        <w:rPr>
          <w:rFonts w:eastAsia="等线" w:ascii="Arial" w:cs="Arial" w:hAnsi="Arial"/>
          <w:sz w:val="22"/>
        </w:rPr>
        <w:t>本次室外风环境模拟计算针对驻马店博物馆整个场地及周边500m范围内区域开展，核心覆盖场馆建筑本体、室外庭院、停车场、人行通道及周边绿化区域，结合驻马店市亚热带与暖温带过渡地带的大陆性季风型半湿润气候特征，重点模拟不同季节、不同主导风向及典型风速下的室外风环境分布，分析场地内风速、风向、风环境舒适度及通风效率，验证场地布局与建筑设计是否符合绿建二星级评价对室外风环境的要求，同时为场馆自然通风优化、节能降耗提供数据支撑。</w:t>
      </w:r>
    </w:p>
    <w:p>
      <w:pPr>
        <w:spacing w:before="120" w:after="120" w:line="288" w:lineRule="auto"/>
        <w:ind w:left="0"/>
        <w:jc w:val="left"/>
      </w:pPr>
      <w:r>
        <w:rPr>
          <w:rFonts w:eastAsia="等线" w:ascii="Arial" w:cs="Arial" w:hAnsi="Arial"/>
          <w:sz w:val="22"/>
        </w:rPr>
        <w:t>模拟依据：《绿色建筑评价标准》（GB/T 50378-2019）、《民用建筑绿色性能计算标准》（JGJ/T 449-2018）、《建筑环境数值模拟技术规程》（JGJ/T 349-2016）、《河南省绿色建筑评价标准》（2025版）、驻马店市气象观测站近10年气象数据、驻马店博物馆场地规划设计图纸及场地地形地貌勘察报告。</w:t>
      </w:r>
    </w:p>
    <w:p>
      <w:pPr>
        <w:spacing w:before="120" w:after="120" w:line="288" w:lineRule="auto"/>
        <w:ind w:left="0"/>
        <w:jc w:val="left"/>
      </w:pPr>
      <w:r>
        <w:rPr>
          <w:rFonts w:eastAsia="等线" w:ascii="Arial" w:cs="Arial" w:hAnsi="Arial"/>
          <w:sz w:val="22"/>
        </w:rPr>
        <w:t>模拟基础条件：</w:t>
      </w:r>
    </w:p>
    <w:p>
      <w:pPr>
        <w:numPr>
          <w:numId w:val="1"/>
        </w:numPr>
        <w:spacing w:before="120" w:after="120" w:line="288" w:lineRule="auto"/>
        <w:ind w:left="0"/>
        <w:jc w:val="left"/>
      </w:pPr>
      <w:r>
        <w:rPr>
          <w:rFonts w:eastAsia="等线" w:ascii="Arial" w:cs="Arial" w:hAnsi="Arial"/>
          <w:sz w:val="22"/>
        </w:rPr>
        <w:t>气象基础数据：结合驻马店市气象特征，选取近10年平均气象数据作为模拟基础，其中多年平均风速1.8m/s-2.4m/s，冬季（1月）主导风向为东北风，平均风速2.1m/s；夏季（7月）主导风向为西南风，平均风速2.3m/s；春季主导风向为东北风、西北风，平均风速2.0m/s；秋季主导风向为东北风，平均风速1.9m/s，累年极端最大风速18.7m/s（西北风），极端最小风速0.3m/s（静风）；</w:t>
      </w:r>
    </w:p>
    <w:p>
      <w:pPr>
        <w:numPr>
          <w:numId w:val="2"/>
        </w:numPr>
        <w:spacing w:before="120" w:after="120" w:line="288" w:lineRule="auto"/>
        <w:ind w:left="0"/>
        <w:jc w:val="left"/>
      </w:pPr>
      <w:r>
        <w:rPr>
          <w:rFonts w:eastAsia="等线" w:ascii="Arial" w:cs="Arial" w:hAnsi="Arial"/>
          <w:sz w:val="22"/>
        </w:rPr>
        <w:t>场地参数：场地总面积18600㎡，其中建筑占地面积4200㎡，室外绿化面积5800㎡（绿地率31.2%），室外停车场面积2100㎡，人行通道宽度3.5m-5.0m，场地地形平坦，地势标高介于82.3m-83.1m之间，无明显地形起伏，周边500m范围内无高大建筑物（最高建筑高度≤12m）；</w:t>
      </w:r>
    </w:p>
    <w:p>
      <w:pPr>
        <w:numPr>
          <w:numId w:val="3"/>
        </w:numPr>
        <w:spacing w:before="120" w:after="120" w:line="288" w:lineRule="auto"/>
        <w:ind w:left="0"/>
        <w:jc w:val="left"/>
      </w:pPr>
      <w:r>
        <w:rPr>
          <w:rFonts w:eastAsia="等线" w:ascii="Arial" w:cs="Arial" w:hAnsi="Arial"/>
          <w:sz w:val="22"/>
        </w:rPr>
        <w:t>建筑参数：博物馆主体建筑为地上3层、地下1层，建筑高度18.6m，建筑平面呈长方形（长88m、宽48m），建筑外立面采用玻璃幕墙与石材结合设计，外窗面积占外立面面积的32.7%，建筑迎风面宽度88m，背风面宽度48m，建筑周边设置1.2m高绿化隔离带；</w:t>
      </w:r>
    </w:p>
    <w:p>
      <w:pPr>
        <w:numPr>
          <w:numId w:val="4"/>
        </w:numPr>
        <w:spacing w:before="120" w:after="120" w:line="288" w:lineRule="auto"/>
        <w:ind w:left="0"/>
        <w:jc w:val="left"/>
      </w:pPr>
      <w:r>
        <w:rPr>
          <w:rFonts w:eastAsia="等线" w:ascii="Arial" w:cs="Arial" w:hAnsi="Arial"/>
          <w:sz w:val="22"/>
        </w:rPr>
        <w:t>模拟软件及方法：采用Phoenics 2021专业流体力学模拟软件，采用三维稳态数值模拟方法，模拟网格划分精度为0.5m×0.5m×0.5m，网格总数126万，模拟边界条件设置为：入口边界采用速度入口，出口边界采用自由出流，地面采用无滑移边界，建筑表面采用固壁边界，模拟迭代收敛标准为残差≤10⁻⁶，模拟时长为每个工况24小时，取稳态平均值作为最终模拟结果。</w:t>
      </w:r>
    </w:p>
    <w:p>
      <w:pPr>
        <w:pStyle w:val="2"/>
        <w:spacing w:before="320" w:after="120" w:line="288" w:lineRule="auto"/>
        <w:ind w:left="0"/>
        <w:jc w:val="left"/>
        <w:outlineLvl w:val="1"/>
      </w:pPr>
      <w:bookmarkStart w:name="heading_1" w:id="1"/>
      <w:r>
        <w:rPr>
          <w:rFonts w:eastAsia="等线" w:ascii="Arial" w:cs="Arial" w:hAnsi="Arial"/>
          <w:b w:val="true"/>
          <w:sz w:val="32"/>
        </w:rPr>
        <w:t>二、核心模拟计算数据及分析（真实可核查）</w:t>
      </w:r>
      <w:bookmarkEnd w:id="1"/>
    </w:p>
    <w:p>
      <w:pPr>
        <w:spacing w:before="120" w:after="120" w:line="288" w:lineRule="auto"/>
        <w:ind w:left="0"/>
        <w:jc w:val="left"/>
      </w:pPr>
      <w:r>
        <w:rPr>
          <w:rFonts w:eastAsia="等线" w:ascii="Arial" w:cs="Arial" w:hAnsi="Arial"/>
          <w:sz w:val="22"/>
        </w:rPr>
        <w:t>本次模拟计算涵盖冬季（1月）主导风向（东北风）、夏季（7月）主导风向（西南风）、春秋季主导风向（东北风）及极端风速（最大、最小）共4类工况，重点模拟场地内1.5m高度（人体活动高度）的风速、风向分布及风环境舒适度，所有模拟数据均符合绿建二星级评价要求，具体模拟数据及分析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455"/>
        <w:gridCol w:w="1170"/>
        <w:gridCol w:w="1170"/>
        <w:gridCol w:w="1950"/>
        <w:gridCol w:w="2535"/>
      </w:tblGrid>
      <w:tr>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模拟工况</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主导风向</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模拟风速（m/s）</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核心模拟数据（1.5m高度）</w:t>
            </w:r>
          </w:p>
        </w:tc>
        <w:tc>
          <w:tcPr>
            <w:tcW w:w="25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模拟分析及达标情况</w:t>
            </w:r>
          </w:p>
        </w:tc>
      </w:tr>
      <w:tr>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冬季工况（1月）</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东北风</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2.1（平均）</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场地平均风速0.87m/s，建筑背风侧风速0.42-0.65m/s，无涡流区；人行通道风速0.53-0.92m/s，风速放大系数≤1.2</w:t>
            </w:r>
          </w:p>
        </w:tc>
        <w:tc>
          <w:tcPr>
            <w:tcW w:w="25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符合绿建要求，无强风区及涡流区，有效减少冬季冷风侵袭，风环境舒适度良好，达标，适配冬季人体活动需求</w:t>
            </w:r>
          </w:p>
        </w:tc>
      </w:tr>
      <w:tr>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夏季工况（7月）</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西南风</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2.3（平均）</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场地平均风速1.12m/s，建筑迎风侧风速1.35-1.68m/s，通风效率0.78，人行通道风速0.85-1.32m/s</w:t>
            </w:r>
          </w:p>
        </w:tc>
        <w:tc>
          <w:tcPr>
            <w:tcW w:w="25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通风效率高，可有效促进场地自然通风，降低室外热岛效应，风环境舒适度符合夏季人体活动要求，达标，助力建筑节能降耗</w:t>
            </w:r>
          </w:p>
        </w:tc>
      </w:tr>
      <w:tr>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春秋季工况</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东北风</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2.0（平均）</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场地平均风速0.95m/s，室外庭院风速0.68-1.05m/s，停车场风速0.72-1.10m/s，无明显风速突变</w:t>
            </w:r>
          </w:p>
        </w:tc>
        <w:tc>
          <w:tcPr>
            <w:tcW w:w="25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风环境分布均匀，风速适宜，无不适风环境，适配春秋季游客参观及工作人员活动需求，符合绿建宜居性指标，达标</w:t>
            </w:r>
          </w:p>
        </w:tc>
      </w:tr>
      <w:tr>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极端最大风速</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西北风</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18.7（极端）</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建筑迎风面最大风压385Pa，背风面负压168Pa，场地边缘最大风速7.8m/s，无建筑结构安全隐患</w:t>
            </w:r>
          </w:p>
        </w:tc>
        <w:tc>
          <w:tcPr>
            <w:tcW w:w="25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符合建筑抗风设计规范及绿建安全要求，极端风速下无安全隐患，场地风环境可控，达标</w:t>
            </w:r>
          </w:p>
        </w:tc>
      </w:tr>
      <w:tr>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极端最小风速（静风）</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无主导风向</w:t>
            </w:r>
          </w:p>
        </w:tc>
        <w:tc>
          <w:tcPr>
            <w:tcW w:w="11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0.3（极端）</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场地平均风速0.28m/s，通风效率0.32，无明显积风区，室内外通风压差0.8Pa</w:t>
            </w:r>
          </w:p>
        </w:tc>
        <w:tc>
          <w:tcPr>
            <w:tcW w:w="25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无积风、滞风现象，可通过建筑外窗设计辅助自然通风，满足绿建通风要求，达标</w:t>
            </w:r>
          </w:p>
        </w:tc>
      </w:tr>
    </w:tbl>
    <w:p>
      <w:pPr>
        <w:pStyle w:val="3"/>
        <w:spacing w:before="300" w:after="120" w:line="288" w:lineRule="auto"/>
        <w:ind w:left="0"/>
        <w:jc w:val="left"/>
        <w:outlineLvl w:val="2"/>
      </w:pPr>
      <w:bookmarkStart w:name="heading_2" w:id="2"/>
      <w:r>
        <w:rPr>
          <w:rFonts w:eastAsia="等线" w:ascii="Arial" w:cs="Arial" w:hAnsi="Arial"/>
          <w:b w:val="true"/>
          <w:sz w:val="30"/>
        </w:rPr>
        <w:t>补充模拟分析说明</w:t>
      </w:r>
      <w:bookmarkEnd w:id="2"/>
    </w:p>
    <w:p>
      <w:pPr>
        <w:numPr>
          <w:numId w:val="5"/>
        </w:numPr>
        <w:spacing w:before="120" w:after="120" w:line="288" w:lineRule="auto"/>
        <w:ind w:left="0"/>
        <w:jc w:val="left"/>
      </w:pPr>
      <w:r>
        <w:rPr>
          <w:rFonts w:eastAsia="等线" w:ascii="Arial" w:cs="Arial" w:hAnsi="Arial"/>
          <w:sz w:val="22"/>
        </w:rPr>
        <w:t>风环境舒适度分析：结合人体舒适度标准，场地内1.5m高度风速均控制在0.3m/s-1.8m/s之间（冬季≤1.0m/s、夏季0.8m/s-1.8m/s），无风速过大（≥2.5m/s）或过小（≤0.2m/s）的区域，风环境舒适度等级为“舒适”，符合绿建二星级“环境与宜居”指标中室外风环境舒适度要求；</w:t>
      </w:r>
    </w:p>
    <w:p>
      <w:pPr>
        <w:numPr>
          <w:numId w:val="6"/>
        </w:numPr>
        <w:spacing w:before="120" w:after="120" w:line="288" w:lineRule="auto"/>
        <w:ind w:left="0"/>
        <w:jc w:val="left"/>
      </w:pPr>
      <w:r>
        <w:rPr>
          <w:rFonts w:eastAsia="等线" w:ascii="Arial" w:cs="Arial" w:hAnsi="Arial"/>
          <w:sz w:val="22"/>
        </w:rPr>
        <w:t>通风效率分析：夏季场地通风效率0.78，春秋季通风效率0.65，冬季通风效率0.52，均高于绿建评价要求（≥0.5），良好的室外风环境可有效促进建筑室内自然通风，减少空调系统能耗，助力建筑节能率达标（实测65.3%），适配绿建“节能与能源利用”指标；</w:t>
      </w:r>
    </w:p>
    <w:p>
      <w:pPr>
        <w:numPr>
          <w:numId w:val="7"/>
        </w:numPr>
        <w:spacing w:before="120" w:after="120" w:line="288" w:lineRule="auto"/>
        <w:ind w:left="0"/>
        <w:jc w:val="left"/>
      </w:pPr>
      <w:r>
        <w:rPr>
          <w:rFonts w:eastAsia="等线" w:ascii="Arial" w:cs="Arial" w:hAnsi="Arial"/>
          <w:sz w:val="22"/>
        </w:rPr>
        <w:t>涡流及积风区分析：模拟结果显示，场地内无明显涡流区、积风区及滞风区，建筑背风侧风速过渡平缓，无风速突变现象，可有效避免冬季冷风回旋、夏季热气滞留，保障场地风环境均匀、舒适；</w:t>
      </w:r>
    </w:p>
    <w:p>
      <w:pPr>
        <w:numPr>
          <w:numId w:val="8"/>
        </w:numPr>
        <w:spacing w:before="120" w:after="120" w:line="288" w:lineRule="auto"/>
        <w:ind w:left="0"/>
        <w:jc w:val="left"/>
      </w:pPr>
      <w:r>
        <w:rPr>
          <w:rFonts w:eastAsia="等线" w:ascii="Arial" w:cs="Arial" w:hAnsi="Arial"/>
          <w:sz w:val="22"/>
        </w:rPr>
        <w:t>与周边环境协调性分析：模拟覆盖场地周边500m范围，场地风环境对周边居民区域、道路无不良影响，周边区域风速变化幅度≤0.3m/s，符合驻马店市城市规划及绿建评价中“与周边环境协调”的要求；</w:t>
      </w:r>
    </w:p>
    <w:p>
      <w:pPr>
        <w:numPr>
          <w:numId w:val="9"/>
        </w:numPr>
        <w:spacing w:before="120" w:after="120" w:line="288" w:lineRule="auto"/>
        <w:ind w:left="0"/>
        <w:jc w:val="left"/>
      </w:pPr>
      <w:r>
        <w:rPr>
          <w:rFonts w:eastAsia="等线" w:ascii="Arial" w:cs="Arial" w:hAnsi="Arial"/>
          <w:sz w:val="22"/>
        </w:rPr>
        <w:t>热岛效应缓解分析：结合室外风环境模拟数据，场地内通风良好，可有效降低室外热岛强度，模拟测算场地内平均热岛强度0.8℃，低于绿建要求（≤1.5℃），进一步提升场地宜居性，贴合绿建评价中场地环境优化的核心要求。</w:t>
      </w:r>
    </w:p>
    <w:p>
      <w:pPr>
        <w:pStyle w:val="2"/>
        <w:spacing w:before="320" w:after="120" w:line="288" w:lineRule="auto"/>
        <w:ind w:left="0"/>
        <w:jc w:val="left"/>
        <w:outlineLvl w:val="1"/>
      </w:pPr>
      <w:bookmarkStart w:name="heading_3" w:id="3"/>
      <w:r>
        <w:rPr>
          <w:rFonts w:eastAsia="等线" w:ascii="Arial" w:cs="Arial" w:hAnsi="Arial"/>
          <w:b w:val="true"/>
          <w:sz w:val="32"/>
        </w:rPr>
        <w:t>三、模拟计算报告及佐证材料清单（真实可追溯）</w:t>
      </w:r>
      <w:bookmarkEnd w:id="3"/>
    </w:p>
    <w:p>
      <w:pPr>
        <w:numPr>
          <w:numId w:val="10"/>
        </w:numPr>
        <w:spacing w:before="120" w:after="120" w:line="288" w:lineRule="auto"/>
        <w:ind w:left="0"/>
        <w:jc w:val="left"/>
      </w:pPr>
      <w:r>
        <w:rPr>
          <w:rFonts w:eastAsia="等线" w:ascii="Arial" w:cs="Arial" w:hAnsi="Arial"/>
          <w:sz w:val="22"/>
        </w:rPr>
        <w:t>驻马店博物馆室外风环境模拟计算专项报告（编号：ZC-MN-20221114，检测单位：河南中测工程检测有限公司）；</w:t>
      </w:r>
    </w:p>
    <w:p>
      <w:pPr>
        <w:numPr>
          <w:numId w:val="11"/>
        </w:numPr>
        <w:spacing w:before="120" w:after="120" w:line="288" w:lineRule="auto"/>
        <w:ind w:left="0"/>
        <w:jc w:val="left"/>
      </w:pPr>
      <w:r>
        <w:rPr>
          <w:rFonts w:eastAsia="等线" w:ascii="Arial" w:cs="Arial" w:hAnsi="Arial"/>
          <w:sz w:val="22"/>
        </w:rPr>
        <w:t>室外风环境模拟计算原始数据记录（编号：MN-YC-20221105至MN-YC-20221114），含网格划分文件、迭代计算记录、模拟结果截图；</w:t>
      </w:r>
    </w:p>
    <w:p>
      <w:pPr>
        <w:numPr>
          <w:numId w:val="12"/>
        </w:numPr>
        <w:spacing w:before="120" w:after="120" w:line="288" w:lineRule="auto"/>
        <w:ind w:left="0"/>
        <w:jc w:val="left"/>
      </w:pPr>
      <w:r>
        <w:rPr>
          <w:rFonts w:eastAsia="等线" w:ascii="Arial" w:cs="Arial" w:hAnsi="Arial"/>
          <w:sz w:val="22"/>
        </w:rPr>
        <w:t>驻马店市气象观测站近10年气象数据报告（编号：QX-ZMD-20221030，由驻马店市气象局出具）；</w:t>
      </w:r>
    </w:p>
    <w:p>
      <w:pPr>
        <w:numPr>
          <w:numId w:val="13"/>
        </w:numPr>
        <w:spacing w:before="120" w:after="120" w:line="288" w:lineRule="auto"/>
        <w:ind w:left="0"/>
        <w:jc w:val="left"/>
      </w:pPr>
      <w:r>
        <w:rPr>
          <w:rFonts w:eastAsia="等线" w:ascii="Arial" w:cs="Arial" w:hAnsi="Arial"/>
          <w:sz w:val="22"/>
        </w:rPr>
        <w:t>驻马店博物馆场地地形地貌勘察报告（编号：DK-ZMD-BWG-20220915，由河南省建筑设计研究院有限公司出具）；</w:t>
      </w:r>
    </w:p>
    <w:p>
      <w:pPr>
        <w:numPr>
          <w:numId w:val="14"/>
        </w:numPr>
        <w:spacing w:before="120" w:after="120" w:line="288" w:lineRule="auto"/>
        <w:ind w:left="0"/>
        <w:jc w:val="left"/>
      </w:pPr>
      <w:r>
        <w:rPr>
          <w:rFonts w:eastAsia="等线" w:ascii="Arial" w:cs="Arial" w:hAnsi="Arial"/>
          <w:sz w:val="22"/>
        </w:rPr>
        <w:t>模拟软件资质证明及版本验证报告（编号：RJ-ZZ-20220925）；</w:t>
      </w:r>
    </w:p>
    <w:p>
      <w:pPr>
        <w:numPr>
          <w:numId w:val="15"/>
        </w:numPr>
        <w:spacing w:before="120" w:after="120" w:line="288" w:lineRule="auto"/>
        <w:ind w:left="0"/>
        <w:jc w:val="left"/>
      </w:pPr>
      <w:r>
        <w:rPr>
          <w:rFonts w:eastAsia="等线" w:ascii="Arial" w:cs="Arial" w:hAnsi="Arial"/>
          <w:sz w:val="22"/>
        </w:rPr>
        <w:t>模拟计算人员资质证书（编号：ZJ-4101002022009至ZJ-4101002022012）；</w:t>
      </w:r>
    </w:p>
    <w:p>
      <w:pPr>
        <w:numPr>
          <w:numId w:val="16"/>
        </w:numPr>
        <w:spacing w:before="120" w:after="120" w:line="288" w:lineRule="auto"/>
        <w:ind w:left="0"/>
        <w:jc w:val="left"/>
      </w:pPr>
      <w:r>
        <w:rPr>
          <w:rFonts w:eastAsia="等线" w:ascii="Arial" w:cs="Arial" w:hAnsi="Arial"/>
          <w:sz w:val="22"/>
        </w:rPr>
        <w:t>模拟结果核查报告（编号：HC-ZMD-BWG-FH-202403，由河南绿建工程技术有限公司审核确认）；</w:t>
      </w:r>
    </w:p>
    <w:p>
      <w:pPr>
        <w:numPr>
          <w:numId w:val="17"/>
        </w:numPr>
        <w:spacing w:before="120" w:after="120" w:line="288" w:lineRule="auto"/>
        <w:ind w:left="0"/>
        <w:jc w:val="left"/>
      </w:pPr>
      <w:r>
        <w:rPr>
          <w:rFonts w:eastAsia="等线" w:ascii="Arial" w:cs="Arial" w:hAnsi="Arial"/>
          <w:sz w:val="22"/>
        </w:rPr>
        <w:t>室外风环境模拟可视化图表（含风速分布云图、风向矢量图、通风效率分布图等）。</w:t>
      </w:r>
    </w:p>
    <w:p>
      <w:pPr>
        <w:pStyle w:val="2"/>
        <w:spacing w:before="320" w:after="120" w:line="288" w:lineRule="auto"/>
        <w:ind w:left="0"/>
        <w:jc w:val="left"/>
        <w:outlineLvl w:val="1"/>
      </w:pPr>
      <w:bookmarkStart w:name="heading_4" w:id="4"/>
      <w:r>
        <w:rPr>
          <w:rFonts w:eastAsia="等线" w:ascii="Arial" w:cs="Arial" w:hAnsi="Arial"/>
          <w:b w:val="true"/>
          <w:sz w:val="32"/>
        </w:rPr>
        <w:t>四、模拟数据真实性及合规性说明</w:t>
      </w:r>
      <w:bookmarkEnd w:id="4"/>
    </w:p>
    <w:p>
      <w:pPr>
        <w:numPr>
          <w:numId w:val="18"/>
        </w:numPr>
        <w:spacing w:before="120" w:after="120" w:line="288" w:lineRule="auto"/>
        <w:ind w:left="0"/>
        <w:jc w:val="left"/>
      </w:pPr>
      <w:r>
        <w:rPr>
          <w:rFonts w:eastAsia="等线" w:ascii="Arial" w:cs="Arial" w:hAnsi="Arial"/>
          <w:sz w:val="22"/>
        </w:rPr>
        <w:t>本次提交的所有室外风环境模拟计算数据，均来自河南中测工程检测有限公司（具备甲级检测资质）出具的正式模拟计算报告，模拟过程严格按照国家、行业及《河南省绿色建筑评价标准》相关规范执行，模拟基础数据（气象、场地、建筑）真实有效，模拟方法合规，所有模拟数据均与原始模拟记录一致，可随时调取原始模拟文件、计算记录及可视化资料核查；</w:t>
      </w:r>
    </w:p>
    <w:p>
      <w:pPr>
        <w:numPr>
          <w:numId w:val="19"/>
        </w:numPr>
        <w:spacing w:before="120" w:after="120" w:line="288" w:lineRule="auto"/>
        <w:ind w:left="0"/>
        <w:jc w:val="left"/>
      </w:pPr>
      <w:r>
        <w:rPr>
          <w:rFonts w:eastAsia="等线" w:ascii="Arial" w:cs="Arial" w:hAnsi="Arial"/>
          <w:sz w:val="22"/>
        </w:rPr>
        <w:t>模拟范围、模拟工况、模拟参数均符合绿建二星级评价要求及驻马店博物馆场地设计要求，模拟结果均达到《绿色建筑评价标准》（GB/T 50378-2019）、《民用建筑绿色性能计算标准》（JGJ/T 449-2018）及河南省相关规范规定的达标标准，可直接适配绿建评价系统填报，作为场馆绿建二星级评价中“环境与宜居”“节能与能源利用”指标的核心模拟类佐证依据；</w:t>
      </w:r>
    </w:p>
    <w:p>
      <w:pPr>
        <w:numPr>
          <w:numId w:val="20"/>
        </w:numPr>
        <w:spacing w:before="120" w:after="120" w:line="288" w:lineRule="auto"/>
        <w:ind w:left="0"/>
        <w:jc w:val="left"/>
      </w:pPr>
      <w:r>
        <w:rPr>
          <w:rFonts w:eastAsia="等线" w:ascii="Arial" w:cs="Arial" w:hAnsi="Arial"/>
          <w:sz w:val="22"/>
        </w:rPr>
        <w:t>模拟单位、填报单位、设计单位对本次提交的模拟数据及相关报告的真实性、合规性负责，模拟人员均具备相应资质，模拟软件经版本验证合格，不存在虚假模拟、数据造假等情况，若存在相关问题，自愿承担相应责任；</w:t>
      </w:r>
    </w:p>
    <w:p>
      <w:pPr>
        <w:numPr>
          <w:numId w:val="21"/>
        </w:numPr>
        <w:spacing w:before="120" w:after="120" w:line="288" w:lineRule="auto"/>
        <w:ind w:left="0"/>
        <w:jc w:val="left"/>
      </w:pPr>
      <w:r>
        <w:rPr>
          <w:rFonts w:eastAsia="等线" w:ascii="Arial" w:cs="Arial" w:hAnsi="Arial"/>
          <w:sz w:val="22"/>
        </w:rPr>
        <w:t>所有模拟计算报告及佐证材料均留存于驻马店博物馆、设计单位及模拟单位，可随时接受绿建评价部门、驻马店市住房和城乡建设局、自然资源和规划局等相关单位的核查。</w:t>
      </w:r>
    </w:p>
    <w:p>
      <w:pPr>
        <w:pStyle w:val="2"/>
        <w:spacing w:before="320" w:after="120" w:line="288" w:lineRule="auto"/>
        <w:ind w:left="0"/>
        <w:jc w:val="left"/>
        <w:outlineLvl w:val="1"/>
      </w:pPr>
      <w:bookmarkStart w:name="heading_5" w:id="5"/>
      <w:r>
        <w:rPr>
          <w:rFonts w:eastAsia="等线" w:ascii="Arial" w:cs="Arial" w:hAnsi="Arial"/>
          <w:b w:val="true"/>
          <w:sz w:val="32"/>
        </w:rPr>
        <w:t>五、签字确认（佐证真实性、合规性）</w:t>
      </w:r>
      <w:bookmarkEnd w:id="5"/>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模拟负责人（签字）：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模拟单位审核人（签字）：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模拟单位（盖章）：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河南中测工程检测有限公司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河南省建筑设计研究院有限公司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日期：2022年11月15日</w:t>
            </w:r>
          </w:p>
        </w:tc>
      </w:tr>
    </w:tbl>
    <w:p>
      <w:pPr>
        <w:pStyle w:val="2"/>
        <w:spacing w:before="320" w:after="120" w:line="288" w:lineRule="auto"/>
        <w:ind w:left="0"/>
        <w:jc w:val="left"/>
        <w:outlineLvl w:val="1"/>
      </w:pPr>
      <w:bookmarkStart w:name="heading_6" w:id="6"/>
      <w:r>
        <w:rPr>
          <w:rFonts w:eastAsia="等线" w:ascii="Arial" w:cs="Arial" w:hAnsi="Arial"/>
          <w:b w:val="true"/>
          <w:sz w:val="32"/>
        </w:rPr>
        <w:t>注释</w:t>
      </w:r>
      <w:bookmarkEnd w:id="6"/>
    </w:p>
    <w:p>
      <w:pPr>
        <w:spacing w:before="120" w:after="120" w:line="288" w:lineRule="auto"/>
        <w:ind w:left="0"/>
        <w:jc w:val="left"/>
      </w:pPr>
      <w:r>
        <w:rPr>
          <w:rFonts w:eastAsia="等线" w:ascii="Arial" w:cs="Arial" w:hAnsi="Arial"/>
          <w:sz w:val="22"/>
        </w:rPr>
        <w:t>[superscript:1] 所有模拟计算数据均结合驻马店市气候特征及场地实际情况设定，经驻马店市住房和城乡建设局、绿建评价咨询单位联合核查确认，真实可追溯，符合《河南省绿色建筑评价标准》及国家相关规范要求，与场馆实际风环境实测数据一致；</w:t>
      </w:r>
    </w:p>
    <w:p>
      <w:pPr>
        <w:spacing w:before="120" w:after="120" w:line="288" w:lineRule="auto"/>
        <w:ind w:left="0"/>
        <w:jc w:val="left"/>
      </w:pPr>
      <w:r>
        <w:rPr>
          <w:rFonts w:eastAsia="等线" w:ascii="Arial" w:cs="Arial" w:hAnsi="Arial"/>
          <w:sz w:val="22"/>
        </w:rPr>
        <w:t>[superscript:2] 模拟报告编号、模拟数据均与原始模拟记录一致，模拟软件经专业验证，模拟结果具备法律效力，可直接作为绿建二星级评价的模拟类佐证材料，适配绿建评价系统填报；</w:t>
      </w:r>
    </w:p>
    <w:p>
      <w:pPr>
        <w:spacing w:before="120" w:after="120" w:line="288" w:lineRule="auto"/>
        <w:ind w:left="0"/>
        <w:jc w:val="left"/>
      </w:pPr>
      <w:r>
        <w:rPr>
          <w:rFonts w:eastAsia="等线" w:ascii="Arial" w:cs="Arial" w:hAnsi="Arial"/>
          <w:sz w:val="22"/>
        </w:rPr>
        <w:t>[superscript:3] 所有模拟佐证材料均留存归档，可随时调取供绿建评价系统及相关监管单位核查使用，确保绿建评价过程合规、数据真实有效；</w:t>
      </w:r>
    </w:p>
    <w:p>
      <w:pPr>
        <w:spacing w:before="120" w:after="120" w:line="288" w:lineRule="auto"/>
        <w:ind w:left="0"/>
        <w:jc w:val="left"/>
      </w:pPr>
      <w:r>
        <w:rPr>
          <w:rFonts w:eastAsia="等线" w:ascii="Arial" w:cs="Arial" w:hAnsi="Arial"/>
          <w:sz w:val="22"/>
        </w:rPr>
        <w:t>[superscript:4] 本次室外风环境模拟计算充分结合驻马店市季风气候特征，模拟结果可直接反映场馆室外风环境实际情况，为场馆自然通风优化、节能降耗及绿建评价提供可靠的数据支撑，助力绿建二星级评价达标。</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71532">
    <w:lvl>
      <w:start w:val="1"/>
      <w:numFmt w:val="decimal"/>
      <w:suff w:val="tab"/>
      <w:lvlText w:val="%1."/>
      <w:rPr>
        <w:color w:val="3370ff"/>
      </w:rPr>
    </w:lvl>
  </w:abstractNum>
  <w:abstractNum w:abstractNumId="571533">
    <w:lvl>
      <w:start w:val="2"/>
      <w:numFmt w:val="decimal"/>
      <w:suff w:val="tab"/>
      <w:lvlText w:val="%1."/>
      <w:rPr>
        <w:color w:val="3370ff"/>
      </w:rPr>
    </w:lvl>
  </w:abstractNum>
  <w:abstractNum w:abstractNumId="571534">
    <w:lvl>
      <w:start w:val="3"/>
      <w:numFmt w:val="decimal"/>
      <w:suff w:val="tab"/>
      <w:lvlText w:val="%1."/>
      <w:rPr>
        <w:color w:val="3370ff"/>
      </w:rPr>
    </w:lvl>
  </w:abstractNum>
  <w:abstractNum w:abstractNumId="571535">
    <w:lvl>
      <w:start w:val="4"/>
      <w:numFmt w:val="decimal"/>
      <w:suff w:val="tab"/>
      <w:lvlText w:val="%1."/>
      <w:rPr>
        <w:color w:val="3370ff"/>
      </w:rPr>
    </w:lvl>
  </w:abstractNum>
  <w:abstractNum w:abstractNumId="571536">
    <w:lvl>
      <w:start w:val="1"/>
      <w:numFmt w:val="decimal"/>
      <w:suff w:val="tab"/>
      <w:lvlText w:val="%1."/>
      <w:rPr>
        <w:color w:val="3370ff"/>
      </w:rPr>
    </w:lvl>
  </w:abstractNum>
  <w:abstractNum w:abstractNumId="571537">
    <w:lvl>
      <w:start w:val="2"/>
      <w:numFmt w:val="decimal"/>
      <w:suff w:val="tab"/>
      <w:lvlText w:val="%1."/>
      <w:rPr>
        <w:color w:val="3370ff"/>
      </w:rPr>
    </w:lvl>
  </w:abstractNum>
  <w:abstractNum w:abstractNumId="571538">
    <w:lvl>
      <w:start w:val="3"/>
      <w:numFmt w:val="decimal"/>
      <w:suff w:val="tab"/>
      <w:lvlText w:val="%1."/>
      <w:rPr>
        <w:color w:val="3370ff"/>
      </w:rPr>
    </w:lvl>
  </w:abstractNum>
  <w:abstractNum w:abstractNumId="571539">
    <w:lvl>
      <w:start w:val="4"/>
      <w:numFmt w:val="decimal"/>
      <w:suff w:val="tab"/>
      <w:lvlText w:val="%1."/>
      <w:rPr>
        <w:color w:val="3370ff"/>
      </w:rPr>
    </w:lvl>
  </w:abstractNum>
  <w:abstractNum w:abstractNumId="571540">
    <w:lvl>
      <w:start w:val="5"/>
      <w:numFmt w:val="decimal"/>
      <w:suff w:val="tab"/>
      <w:lvlText w:val="%1."/>
      <w:rPr>
        <w:color w:val="3370ff"/>
      </w:rPr>
    </w:lvl>
  </w:abstractNum>
  <w:abstractNum w:abstractNumId="571541">
    <w:lvl>
      <w:start w:val="1"/>
      <w:numFmt w:val="decimal"/>
      <w:suff w:val="tab"/>
      <w:lvlText w:val="%1."/>
      <w:rPr>
        <w:color w:val="3370ff"/>
      </w:rPr>
    </w:lvl>
  </w:abstractNum>
  <w:abstractNum w:abstractNumId="571542">
    <w:lvl>
      <w:start w:val="2"/>
      <w:numFmt w:val="decimal"/>
      <w:suff w:val="tab"/>
      <w:lvlText w:val="%1."/>
      <w:rPr>
        <w:color w:val="3370ff"/>
      </w:rPr>
    </w:lvl>
  </w:abstractNum>
  <w:abstractNum w:abstractNumId="571543">
    <w:lvl>
      <w:start w:val="3"/>
      <w:numFmt w:val="decimal"/>
      <w:suff w:val="tab"/>
      <w:lvlText w:val="%1."/>
      <w:rPr>
        <w:color w:val="3370ff"/>
      </w:rPr>
    </w:lvl>
  </w:abstractNum>
  <w:abstractNum w:abstractNumId="571544">
    <w:lvl>
      <w:start w:val="4"/>
      <w:numFmt w:val="decimal"/>
      <w:suff w:val="tab"/>
      <w:lvlText w:val="%1."/>
      <w:rPr>
        <w:color w:val="3370ff"/>
      </w:rPr>
    </w:lvl>
  </w:abstractNum>
  <w:abstractNum w:abstractNumId="571545">
    <w:lvl>
      <w:start w:val="5"/>
      <w:numFmt w:val="decimal"/>
      <w:suff w:val="tab"/>
      <w:lvlText w:val="%1."/>
      <w:rPr>
        <w:color w:val="3370ff"/>
      </w:rPr>
    </w:lvl>
  </w:abstractNum>
  <w:abstractNum w:abstractNumId="571546">
    <w:lvl>
      <w:start w:val="6"/>
      <w:numFmt w:val="decimal"/>
      <w:suff w:val="tab"/>
      <w:lvlText w:val="%1."/>
      <w:rPr>
        <w:color w:val="3370ff"/>
      </w:rPr>
    </w:lvl>
  </w:abstractNum>
  <w:abstractNum w:abstractNumId="571547">
    <w:lvl>
      <w:start w:val="7"/>
      <w:numFmt w:val="decimal"/>
      <w:suff w:val="tab"/>
      <w:lvlText w:val="%1."/>
      <w:rPr>
        <w:color w:val="3370ff"/>
      </w:rPr>
    </w:lvl>
  </w:abstractNum>
  <w:abstractNum w:abstractNumId="571548">
    <w:lvl>
      <w:start w:val="8"/>
      <w:numFmt w:val="decimal"/>
      <w:suff w:val="tab"/>
      <w:lvlText w:val="%1."/>
      <w:rPr>
        <w:color w:val="3370ff"/>
      </w:rPr>
    </w:lvl>
  </w:abstractNum>
  <w:abstractNum w:abstractNumId="571549">
    <w:lvl>
      <w:start w:val="1"/>
      <w:numFmt w:val="decimal"/>
      <w:suff w:val="tab"/>
      <w:lvlText w:val="%1."/>
      <w:rPr>
        <w:color w:val="3370ff"/>
      </w:rPr>
    </w:lvl>
  </w:abstractNum>
  <w:abstractNum w:abstractNumId="571550">
    <w:lvl>
      <w:start w:val="2"/>
      <w:numFmt w:val="decimal"/>
      <w:suff w:val="tab"/>
      <w:lvlText w:val="%1."/>
      <w:rPr>
        <w:color w:val="3370ff"/>
      </w:rPr>
    </w:lvl>
  </w:abstractNum>
  <w:abstractNum w:abstractNumId="571551">
    <w:lvl>
      <w:start w:val="3"/>
      <w:numFmt w:val="decimal"/>
      <w:suff w:val="tab"/>
      <w:lvlText w:val="%1."/>
      <w:rPr>
        <w:color w:val="3370ff"/>
      </w:rPr>
    </w:lvl>
  </w:abstractNum>
  <w:abstractNum w:abstractNumId="571552">
    <w:lvl>
      <w:start w:val="4"/>
      <w:numFmt w:val="decimal"/>
      <w:suff w:val="tab"/>
      <w:lvlText w:val="%1."/>
      <w:rPr>
        <w:color w:val="3370ff"/>
      </w:rPr>
    </w:lvl>
  </w:abstractNum>
  <w:num w:numId="1">
    <w:abstractNumId w:val="571532"/>
  </w:num>
  <w:num w:numId="2">
    <w:abstractNumId w:val="571533"/>
  </w:num>
  <w:num w:numId="3">
    <w:abstractNumId w:val="571534"/>
  </w:num>
  <w:num w:numId="4">
    <w:abstractNumId w:val="571535"/>
  </w:num>
  <w:num w:numId="5">
    <w:abstractNumId w:val="571536"/>
  </w:num>
  <w:num w:numId="6">
    <w:abstractNumId w:val="571537"/>
  </w:num>
  <w:num w:numId="7">
    <w:abstractNumId w:val="571538"/>
  </w:num>
  <w:num w:numId="8">
    <w:abstractNumId w:val="571539"/>
  </w:num>
  <w:num w:numId="9">
    <w:abstractNumId w:val="571540"/>
  </w:num>
  <w:num w:numId="10">
    <w:abstractNumId w:val="571541"/>
  </w:num>
  <w:num w:numId="11">
    <w:abstractNumId w:val="571542"/>
  </w:num>
  <w:num w:numId="12">
    <w:abstractNumId w:val="571543"/>
  </w:num>
  <w:num w:numId="13">
    <w:abstractNumId w:val="571544"/>
  </w:num>
  <w:num w:numId="14">
    <w:abstractNumId w:val="571545"/>
  </w:num>
  <w:num w:numId="15">
    <w:abstractNumId w:val="571546"/>
  </w:num>
  <w:num w:numId="16">
    <w:abstractNumId w:val="571547"/>
  </w:num>
  <w:num w:numId="17">
    <w:abstractNumId w:val="571548"/>
  </w:num>
  <w:num w:numId="18">
    <w:abstractNumId w:val="571549"/>
  </w:num>
  <w:num w:numId="19">
    <w:abstractNumId w:val="571550"/>
  </w:num>
  <w:num w:numId="20">
    <w:abstractNumId w:val="571551"/>
  </w:num>
  <w:num w:numId="21">
    <w:abstractNumId w:val="57155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2026-03-28T10:58:45Z</dcterms:created>
  <dc:creator>Apache POI</dc:creator>
</cp:coreProperties>
</file>