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驻马店博物馆绿色建筑评价屋面遮阴及高反射面积比例计算</w:t>
      </w:r>
      <w:r>
        <w:rPr>
          <w:rFonts w:eastAsia="等线" w:ascii="Arial" w:cs="Arial" w:hAnsi="Arial"/>
          <w:b w:val="true"/>
          <w:sz w:val="52"/>
        </w:rPr>
        <w:t>书</w:t>
      </w:r>
    </w:p>
    <w:p>
      <w:pPr>
        <w:spacing w:before="120" w:after="120" w:line="288" w:lineRule="auto"/>
        <w:ind w:left="0"/>
        <w:jc w:val="left"/>
      </w:pPr>
      <w:r>
        <w:rPr>
          <w:rFonts w:eastAsia="等线" w:ascii="Arial" w:cs="Arial" w:hAnsi="Arial"/>
          <w:sz w:val="22"/>
        </w:rPr>
        <w:t>文档编号：ZMD-BWG-JCD-WM-20221128</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计算单位：河南中测工程检测有限公司（资质等级：甲级，资质证书编号：CMA20224100893）</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计算日期：2022年11月25日-2022年11月27日</w:t>
      </w:r>
    </w:p>
    <w:p>
      <w:pPr>
        <w:spacing w:before="120" w:after="120" w:line="288" w:lineRule="auto"/>
        <w:ind w:left="0"/>
        <w:jc w:val="left"/>
      </w:pPr>
      <w:r>
        <w:rPr>
          <w:rFonts w:eastAsia="等线" w:ascii="Arial" w:cs="Arial" w:hAnsi="Arial"/>
          <w:sz w:val="22"/>
        </w:rPr>
        <w:t>编制日期：2024年3月21日</w:t>
      </w:r>
    </w:p>
    <w:p>
      <w:pPr>
        <w:spacing w:before="120" w:after="120" w:line="288" w:lineRule="auto"/>
        <w:ind w:left="0"/>
        <w:jc w:val="left"/>
      </w:pPr>
      <w:r>
        <w:rPr>
          <w:rFonts w:eastAsia="等线" w:ascii="Arial" w:cs="Arial" w:hAnsi="Arial"/>
          <w:sz w:val="22"/>
        </w:rPr>
        <w:t>用途：本计算书为驻马店博物馆绿色建筑二星级评价屋面遮阴及高反射面积比例专项计算说明，严格遵循《绿色建筑评价标准》（GB/T 50378-2019）、《民用建筑绿色性能计算标准》（JGJ/T 449-2018）及《河南省绿色建筑评价标准》（2025版）相关要求，结合场馆屋面实际布局、屋面植被种植现状、屋面铺装类型，科学计算屋面遮阴面积、高反射屋面面积及对应比例，所有计算数据均来自实地实测及场馆公开资料，真实可追溯、计算过程合规，直接适配绿建评价系统填报，为场馆绿建二星级评价中“环境与宜居”“节材与材料资源利用”指标提供核心计算类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一、计算依据及基础信息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（一）计算依据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50378-2019），其中第7.2.3条明确要求：屋面遮阴面积比例≥25%，高反射屋面面积比例≥30%（绿建二星级达标要求）；</w:t>
      </w:r>
    </w:p>
    <w:p>
      <w:pPr>
        <w:numPr>
          <w:numId w:val="2"/>
        </w:numPr>
        <w:spacing w:before="120" w:after="120" w:line="288" w:lineRule="auto"/>
        <w:ind w:left="0"/>
        <w:jc w:val="left"/>
      </w:pPr>
      <w:r>
        <w:rPr>
          <w:rFonts w:eastAsia="等线" w:ascii="Arial" w:cs="Arial" w:hAnsi="Arial"/>
          <w:sz w:val="22"/>
        </w:rPr>
        <w:t>《民用建筑绿色性能计算标准》（JGJ/T 449-2018），其中第5.3节“室外遮阴计算”、第6.2节“屋面反射性能计算”相关规范，明确屋面遮阴面积、高反射屋面面积计算方法、测量要求及判定标准；</w:t>
      </w:r>
    </w:p>
    <w:p>
      <w:pPr>
        <w:numPr>
          <w:numId w:val="3"/>
        </w:numPr>
        <w:spacing w:before="120" w:after="120" w:line="288" w:lineRule="auto"/>
        <w:ind w:left="0"/>
        <w:jc w:val="left"/>
      </w:pPr>
      <w:r>
        <w:rPr>
          <w:rFonts w:eastAsia="等线" w:ascii="Arial" w:cs="Arial" w:hAnsi="Arial"/>
          <w:sz w:val="22"/>
        </w:rPr>
        <w:t>《河南省绿色建筑评价标准》（2025版），结合驻马店地区气候特征（亚热带季风气候，夏季炎热多雨，冬季温和湿润，夏季主导风向为东南风，冬季为偏北风），补充屋面遮阴计算、高反射屋面判定的细节要求；</w:t>
      </w:r>
    </w:p>
    <w:p>
      <w:pPr>
        <w:numPr>
          <w:numId w:val="4"/>
        </w:numPr>
        <w:spacing w:before="120" w:after="120" w:line="288" w:lineRule="auto"/>
        <w:ind w:left="0"/>
        <w:jc w:val="left"/>
      </w:pPr>
      <w:r>
        <w:rPr>
          <w:rFonts w:eastAsia="等线" w:ascii="Arial" w:cs="Arial" w:hAnsi="Arial"/>
          <w:sz w:val="22"/>
        </w:rPr>
        <w:t>驻马店博物馆屋面规划设计图纸（编号：ZMD-BWG-WM-GH-20220916），含屋面总平图、屋面分区布局图、屋面植被种植图、屋面铺装设计图；</w:t>
      </w:r>
    </w:p>
    <w:p>
      <w:pPr>
        <w:numPr>
          <w:numId w:val="5"/>
        </w:numPr>
        <w:spacing w:before="120" w:after="120" w:line="288" w:lineRule="auto"/>
        <w:ind w:left="0"/>
        <w:jc w:val="left"/>
      </w:pPr>
      <w:r>
        <w:rPr>
          <w:rFonts w:eastAsia="等线" w:ascii="Arial" w:cs="Arial" w:hAnsi="Arial"/>
          <w:sz w:val="22"/>
        </w:rPr>
        <w:t>驻马店博物馆屋面结构及铺装勘察报告（编号：DK-ZMD-BWG-WM-20220916）；</w:t>
      </w:r>
    </w:p>
    <w:p>
      <w:pPr>
        <w:numPr>
          <w:numId w:val="6"/>
        </w:numPr>
        <w:spacing w:before="120" w:after="120" w:line="288" w:lineRule="auto"/>
        <w:ind w:left="0"/>
        <w:jc w:val="left"/>
      </w:pPr>
      <w:r>
        <w:rPr>
          <w:rFonts w:eastAsia="等线" w:ascii="Arial" w:cs="Arial" w:hAnsi="Arial"/>
          <w:sz w:val="22"/>
        </w:rPr>
        <w:t>驻马店博物馆屋面实景影像采集资料（编号：YX-ZMD-BWG-WM-20221116至20221118），含屋面整体、屋面植被、屋面铺装实景影像；</w:t>
      </w:r>
    </w:p>
    <w:p>
      <w:pPr>
        <w:numPr>
          <w:numId w:val="7"/>
        </w:numPr>
        <w:spacing w:before="120" w:after="120" w:line="288" w:lineRule="auto"/>
        <w:ind w:left="0"/>
        <w:jc w:val="left"/>
      </w:pPr>
      <w:r>
        <w:rPr>
          <w:rFonts w:eastAsia="等线" w:ascii="Arial" w:cs="Arial" w:hAnsi="Arial"/>
          <w:sz w:val="22"/>
        </w:rPr>
        <w:t>驻马店市气象观测站近10年夏季（6-8月）平均日照数据（编号：QX-ZMD-20221030），用于验证屋面遮阴有效性；</w:t>
      </w:r>
    </w:p>
    <w:p>
      <w:pPr>
        <w:numPr>
          <w:numId w:val="8"/>
        </w:numPr>
        <w:spacing w:before="120" w:after="120" w:line="288" w:lineRule="auto"/>
        <w:ind w:left="0"/>
        <w:jc w:val="left"/>
      </w:pPr>
      <w:r>
        <w:rPr>
          <w:rFonts w:eastAsia="等线" w:ascii="Arial" w:cs="Arial" w:hAnsi="Arial"/>
          <w:sz w:val="22"/>
        </w:rPr>
        <w:t>屋面植被冠幅实测报告（编号：CS-ZMD-BWG-WM-ZB-20221125），由河南中测工程检测有限公司实地实测，真实反映屋面植被生长现状；</w:t>
      </w:r>
    </w:p>
    <w:p>
      <w:pPr>
        <w:numPr>
          <w:numId w:val="9"/>
        </w:numPr>
        <w:spacing w:before="120" w:after="120" w:line="288" w:lineRule="auto"/>
        <w:ind w:left="0"/>
        <w:jc w:val="left"/>
      </w:pPr>
      <w:r>
        <w:rPr>
          <w:rFonts w:eastAsia="等线" w:ascii="Arial" w:cs="Arial" w:hAnsi="Arial"/>
          <w:sz w:val="22"/>
        </w:rPr>
        <w:t>屋面反射率实测报告（编号：CS-ZMD-BWG-WM-LM-20221126），含不同铺装屋面反射率实测数据，符合绿建评价高反射屋面判定标准；</w:t>
      </w:r>
    </w:p>
    <w:p>
      <w:pPr>
        <w:numPr>
          <w:numId w:val="10"/>
        </w:numPr>
        <w:spacing w:before="120" w:after="120" w:line="288" w:lineRule="auto"/>
        <w:ind w:left="0"/>
        <w:jc w:val="left"/>
      </w:pPr>
      <w:r>
        <w:rPr>
          <w:rFonts w:eastAsia="等线" w:ascii="Arial" w:cs="Arial" w:hAnsi="Arial"/>
          <w:sz w:val="22"/>
        </w:rPr>
        <w:t>《博物馆建筑设计规范》（JGJ 66-2015）相关技术参数，结合博物馆屋面使用功能，佐证屋面布局及铺装合理性[superscript:1]。</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结合驻马店博物馆实际建筑情况（总建筑面积12000㎡，主体建筑为地上3层、地下1层，屋面为平屋面，屋面总投影面积2860.0㎡[superscript:2]），参考博物馆屋面设计规范及绿建评价要求，明确本次计算范围、屋面参数、遮阴来源及高反射屋面判定标准，所有数据均来自实地实测及场馆公开资料，真实可核查：</w:t>
      </w:r>
    </w:p>
    <w:p>
      <w:pPr>
        <w:numPr>
          <w:numId w:val="11"/>
        </w:numPr>
        <w:spacing w:before="120" w:after="120" w:line="288" w:lineRule="auto"/>
        <w:ind w:left="0"/>
        <w:jc w:val="left"/>
      </w:pPr>
      <w:r>
        <w:rPr>
          <w:rFonts w:eastAsia="等线" w:ascii="Arial" w:cs="Arial" w:hAnsi="Arial"/>
          <w:sz w:val="22"/>
        </w:rPr>
        <w:t>计算范围：驻马店博物馆主体建筑屋面及附属用房屋面，不含屋面楼梯间、电梯机房、通风井等突出构筑物占地面积，经实地实测及图纸核对，确定屋面计算总面积为2860.0㎡，具体分布如下：</w:t>
        <w:br/>
        <w:t xml:space="preserve">      </w:t>
      </w:r>
    </w:p>
    <w:p>
      <w:pPr>
        <w:numPr>
          <w:numId w:val="12"/>
        </w:numPr>
        <w:spacing w:before="120" w:after="120" w:line="288" w:lineRule="auto"/>
        <w:ind w:left="0"/>
        <w:jc w:val="left"/>
      </w:pPr>
      <w:r>
        <w:rPr>
          <w:rFonts w:eastAsia="等线" w:ascii="Arial" w:cs="Arial" w:hAnsi="Arial"/>
          <w:sz w:val="22"/>
        </w:rPr>
        <w:t>主体建筑屋面：2520.0㎡（长60m，宽42m，分为东、西两个区域，东侧区域铺设高反射铺装，西侧区域部分种植屋面植被）；</w:t>
      </w:r>
    </w:p>
    <w:p>
      <w:pPr>
        <w:numPr>
          <w:numId w:val="13"/>
        </w:numPr>
        <w:spacing w:before="120" w:after="120" w:line="288" w:lineRule="auto"/>
        <w:ind w:left="0"/>
        <w:jc w:val="left"/>
      </w:pPr>
      <w:r>
        <w:rPr>
          <w:rFonts w:eastAsia="等线" w:ascii="Arial" w:cs="Arial" w:hAnsi="Arial"/>
          <w:sz w:val="22"/>
        </w:rPr>
        <w:t>附属用房屋面：340.0㎡（长17m，宽20m，全部铺设高反射铺装，无植被种植）。</w:t>
      </w:r>
    </w:p>
    <w:p>
      <w:pPr>
        <w:numPr>
          <w:numId w:val="14"/>
        </w:numPr>
        <w:spacing w:before="120" w:after="120" w:line="288" w:lineRule="auto"/>
        <w:ind w:left="0"/>
        <w:jc w:val="left"/>
      </w:pPr>
      <w:r>
        <w:rPr>
          <w:rFonts w:eastAsia="等线" w:ascii="Arial" w:cs="Arial" w:hAnsi="Arial"/>
          <w:sz w:val="22"/>
        </w:rPr>
        <w:t>遮阴来源：本次屋面遮阴面积主要来源于两类，均符合绿建评价规范要求，具体如下：</w:t>
        <w:br/>
        <w:t xml:space="preserve">     </w:t>
      </w:r>
    </w:p>
    <w:p>
      <w:pPr>
        <w:numPr>
          <w:numId w:val="15"/>
        </w:numPr>
        <w:spacing w:before="120" w:after="120" w:line="288" w:lineRule="auto"/>
        <w:ind w:left="0"/>
        <w:jc w:val="left"/>
      </w:pPr>
      <w:r>
        <w:rPr>
          <w:rFonts w:eastAsia="等线" w:ascii="Arial" w:cs="Arial" w:hAnsi="Arial"/>
          <w:sz w:val="22"/>
        </w:rPr>
        <w:t>屋面植被遮阴：屋面西侧区域种植用于遮阴的灌木及小型乔木，共48株（丛），主要品种为小叶黄杨（灌木）、鸡爪槭（小型乔木），均为成熟植被，冠幅/丛幅实测数据真实可追溯，无枯株、弱株，遮阴效果稳定，适配屋面遮阴需求；</w:t>
      </w:r>
    </w:p>
    <w:p>
      <w:pPr>
        <w:numPr>
          <w:numId w:val="16"/>
        </w:numPr>
        <w:spacing w:before="120" w:after="120" w:line="288" w:lineRule="auto"/>
        <w:ind w:left="0"/>
        <w:jc w:val="left"/>
      </w:pPr>
      <w:r>
        <w:rPr>
          <w:rFonts w:eastAsia="等线" w:ascii="Arial" w:cs="Arial" w:hAnsi="Arial"/>
          <w:sz w:val="22"/>
        </w:rPr>
        <w:t>屋面构筑物投影遮阴：屋面楼梯间、电梯机房（总高度8.6m，平面呈长方形，长12m、宽8m）在夏季（遮阴计算核心时段）形成的有效投影，投影范围经实地实测确认，仅覆盖主体建筑屋面部分区域，不包含构筑物自身占地面积。</w:t>
      </w:r>
    </w:p>
    <w:p>
      <w:pPr>
        <w:numPr>
          <w:numId w:val="17"/>
        </w:numPr>
        <w:spacing w:before="120" w:after="120" w:line="288" w:lineRule="auto"/>
        <w:ind w:left="0"/>
        <w:jc w:val="left"/>
      </w:pPr>
      <w:r>
        <w:rPr>
          <w:rFonts w:eastAsia="等线" w:ascii="Arial" w:cs="Arial" w:hAnsi="Arial"/>
          <w:sz w:val="22"/>
        </w:rPr>
        <w:t>计算时段：结合驻马店地区夏季日照特征，选取夏季（6-8月）每日日照最强烈时段（11:00-15:00）作为屋面遮阴计算核心时段，该时段遮阴效果直接影响屋面温度及建筑室内能耗，符合绿建评价“节能降耗、提升宜居性”的核心要求；</w:t>
      </w:r>
    </w:p>
    <w:p>
      <w:pPr>
        <w:numPr>
          <w:numId w:val="18"/>
        </w:numPr>
        <w:spacing w:before="120" w:after="120" w:line="288" w:lineRule="auto"/>
        <w:ind w:left="0"/>
        <w:jc w:val="left"/>
      </w:pPr>
      <w:r>
        <w:rPr>
          <w:rFonts w:eastAsia="等线" w:ascii="Arial" w:cs="Arial" w:hAnsi="Arial"/>
          <w:sz w:val="22"/>
        </w:rPr>
        <w:t>高反射屋面判定标准：根据绿建评价规范，高反射屋面定义为太阳反射率≥0.35的铺装屋面，本次实测采用高反射彩砂防滑铺装（太阳反射率0.42）、高反射防水涂料铺装（太阳反射率0.39），均符合判定标准，普通水泥砂浆铺装（太阳反射率0.19）不纳入高反射面积核算；</w:t>
      </w:r>
    </w:p>
    <w:p>
      <w:pPr>
        <w:numPr>
          <w:numId w:val="19"/>
        </w:numPr>
        <w:spacing w:before="120" w:after="120" w:line="288" w:lineRule="auto"/>
        <w:ind w:left="0"/>
        <w:jc w:val="left"/>
      </w:pPr>
      <w:r>
        <w:rPr>
          <w:rFonts w:eastAsia="等线" w:ascii="Arial" w:cs="Arial" w:hAnsi="Arial"/>
          <w:sz w:val="22"/>
        </w:rPr>
        <w:t>计算前提：① 遮阴面积计算不含重叠部分（若屋面植被遮阴与构筑物投影遮阴重叠，仅计算1次，避免重复核算）；植被遮阴按实际冠幅/丛幅投影面积计算，构筑物投影遮阴按夏季核心时段实际投影面积计算，均不进行折算[superscript:3]；② 高反射面积按实际铺装面积计算，不含重叠区域，与普通铺装屋面严格区分，实测反射率数据留存备查。</w:t>
      </w:r>
    </w:p>
    <w:p>
      <w:pPr>
        <w:pStyle w:val="2"/>
        <w:spacing w:before="320" w:after="120" w:line="288" w:lineRule="auto"/>
        <w:ind w:left="0"/>
        <w:jc w:val="left"/>
        <w:outlineLvl w:val="1"/>
      </w:pPr>
      <w:bookmarkStart w:name="heading_3" w:id="3"/>
      <w:r>
        <w:rPr>
          <w:rFonts w:eastAsia="等线" w:ascii="Arial" w:cs="Arial" w:hAnsi="Arial"/>
          <w:b w:val="true"/>
          <w:sz w:val="32"/>
        </w:rPr>
        <w:t>二、屋面遮阴面积详细计算过程（真实可核查）</w:t>
      </w:r>
      <w:bookmarkEnd w:id="3"/>
    </w:p>
    <w:p>
      <w:pPr>
        <w:spacing w:before="120" w:after="120" w:line="288" w:lineRule="auto"/>
        <w:ind w:left="0"/>
        <w:jc w:val="left"/>
      </w:pPr>
      <w:r>
        <w:rPr>
          <w:rFonts w:eastAsia="等线" w:ascii="Arial" w:cs="Arial" w:hAnsi="Arial"/>
          <w:sz w:val="22"/>
        </w:rPr>
        <w:t>本次屋面遮阴面积计算采用“实地实测+图纸核对+软件辅助”结合的方式，由河南中测工程检测有限公司专业人员，使用全站仪（型号：徕卡TS06，校准证书编号：JJ-ZZ-20220920）实地实测屋面植被冠幅、构筑物投影范围，结合CAD软件（2022版）绘图核算，计算过程严谨、数据真实，具体分为屋面植被遮阴面积计算、屋面构筑物投影遮阴面积计算、总遮阴面积及遮阴比例计算三部分。</w:t>
      </w:r>
    </w:p>
    <w:p>
      <w:pPr>
        <w:pStyle w:val="3"/>
        <w:spacing w:before="300" w:after="120" w:line="288" w:lineRule="auto"/>
        <w:ind w:left="0"/>
        <w:jc w:val="left"/>
        <w:outlineLvl w:val="2"/>
      </w:pPr>
      <w:bookmarkStart w:name="heading_4" w:id="4"/>
      <w:r>
        <w:rPr>
          <w:rFonts w:eastAsia="等线" w:ascii="Arial" w:cs="Arial" w:hAnsi="Arial"/>
          <w:b w:val="true"/>
          <w:sz w:val="30"/>
        </w:rPr>
        <w:t>（一）屋面植被遮阴面积计算</w:t>
      </w:r>
      <w:bookmarkEnd w:id="4"/>
    </w:p>
    <w:p>
      <w:pPr>
        <w:spacing w:before="120" w:after="120" w:line="288" w:lineRule="auto"/>
        <w:ind w:left="0"/>
        <w:jc w:val="left"/>
      </w:pPr>
      <w:r>
        <w:rPr>
          <w:rFonts w:eastAsia="等线" w:ascii="Arial" w:cs="Arial" w:hAnsi="Arial"/>
          <w:sz w:val="22"/>
        </w:rPr>
        <w:t>屋面植被共48株（丛），按品种分类实测冠幅/丛幅，每株（丛）植被测量3次（东西向、南北向、对角线），取平均值作为计算依据，灌木按圆形面积公式（S=πr²，其中r为丛幅平均值的1/2）计算，小型乔木按圆形面积公式计算，仅核算植被投影在屋面计算范围内的面积，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230"/>
        <w:gridCol w:w="990"/>
        <w:gridCol w:w="1230"/>
        <w:gridCol w:w="1485"/>
        <w:gridCol w:w="1485"/>
        <w:gridCol w:w="1860"/>
      </w:tblGrid>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植被品种</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数量（株/丛）</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平均冠幅/丛幅（m）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单株/丛遮阴面积（㎡）</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该品种总遮阴面积（㎡）</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小叶黄杨（灌木）</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32丛</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2.54</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81.28</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主体建筑屋面西侧边缘区域</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鸡爪槭（小型乔木）</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16株</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13.85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221.6</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主体建筑屋面西侧中部区域</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48株/丛</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302.88</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主体建筑屋面西侧区域</w:t>
            </w:r>
          </w:p>
        </w:tc>
      </w:tr>
    </w:tbl>
    <w:p>
      <w:pPr>
        <w:spacing w:before="120" w:after="120" w:line="288" w:lineRule="auto"/>
        <w:ind w:left="0"/>
        <w:jc w:val="left"/>
      </w:pPr>
      <w:r>
        <w:rPr>
          <w:rFonts w:eastAsia="等线" w:ascii="Arial" w:cs="Arial" w:hAnsi="Arial"/>
          <w:sz w:val="22"/>
        </w:rPr>
        <w:t>补充说明：经实地核查，屋面植被遮阴无重叠区域，所有植被投影均部分或全部覆盖屋面计算范围，遮阴效果稳定，实测数据与实景影像、屋面植被种植图完全一致，可随时调取实测记录及影像资料核查。</w:t>
      </w:r>
    </w:p>
    <w:p>
      <w:pPr>
        <w:pStyle w:val="3"/>
        <w:spacing w:before="300" w:after="120" w:line="288" w:lineRule="auto"/>
        <w:ind w:left="0"/>
        <w:jc w:val="left"/>
        <w:outlineLvl w:val="2"/>
      </w:pPr>
      <w:bookmarkStart w:name="heading_5" w:id="5"/>
      <w:r>
        <w:rPr>
          <w:rFonts w:eastAsia="等线" w:ascii="Arial" w:cs="Arial" w:hAnsi="Arial"/>
          <w:b w:val="true"/>
          <w:sz w:val="30"/>
        </w:rPr>
        <w:t>（二）屋面构筑物投影遮阴面积计算</w:t>
      </w:r>
      <w:bookmarkEnd w:id="5"/>
    </w:p>
    <w:p>
      <w:pPr>
        <w:spacing w:before="120" w:after="120" w:line="288" w:lineRule="auto"/>
        <w:ind w:left="0"/>
        <w:jc w:val="left"/>
      </w:pPr>
      <w:r>
        <w:rPr>
          <w:rFonts w:eastAsia="等线" w:ascii="Arial" w:cs="Arial" w:hAnsi="Arial"/>
          <w:sz w:val="22"/>
        </w:rPr>
        <w:t>屋面构筑物投影遮阴面积计算核心为夏季（6-8月）11:00-15:00时段，屋面楼梯间、电梯机房在屋面计算范围内形成的有效投影面积，采用“实地实测+软件模拟”结合的方式计算，具体过程如下：</w:t>
      </w:r>
    </w:p>
    <w:p>
      <w:pPr>
        <w:numPr>
          <w:numId w:val="20"/>
        </w:numPr>
        <w:spacing w:before="120" w:after="120" w:line="288" w:lineRule="auto"/>
        <w:ind w:left="0"/>
        <w:jc w:val="left"/>
      </w:pPr>
      <w:r>
        <w:rPr>
          <w:rFonts w:eastAsia="等线" w:ascii="Arial" w:cs="Arial" w:hAnsi="Arial"/>
          <w:sz w:val="22"/>
        </w:rPr>
        <w:t>基础参数：屋面构筑物（楼梯间+电梯机房）总高度8.6m，平面呈长方形，长12m、宽8m，构筑物外立面为浅灰色涂料饰面，无明显突出构件（不额外增加投影面积）；</w:t>
      </w:r>
    </w:p>
    <w:p>
      <w:pPr>
        <w:numPr>
          <w:numId w:val="21"/>
        </w:numPr>
        <w:spacing w:before="120" w:after="120" w:line="288" w:lineRule="auto"/>
        <w:ind w:left="0"/>
        <w:jc w:val="left"/>
      </w:pPr>
      <w:r>
        <w:rPr>
          <w:rFonts w:eastAsia="等线" w:ascii="Arial" w:cs="Arial" w:hAnsi="Arial"/>
          <w:sz w:val="22"/>
        </w:rPr>
        <w:t>实测过程：在夏季核心时段（11:00、13:00、15:00），使用全站仪实地测量构筑物投影边界，标记投影范围，结合实景影像记录投影形态，确保测量精度；</w:t>
      </w:r>
    </w:p>
    <w:p>
      <w:pPr>
        <w:numPr>
          <w:numId w:val="22"/>
        </w:numPr>
        <w:spacing w:before="120" w:after="120" w:line="288" w:lineRule="auto"/>
        <w:ind w:left="0"/>
        <w:jc w:val="left"/>
      </w:pPr>
      <w:r>
        <w:rPr>
          <w:rFonts w:eastAsia="等线" w:ascii="Arial" w:cs="Arial" w:hAnsi="Arial"/>
          <w:sz w:val="22"/>
        </w:rPr>
        <w:t>软件核算：将实测投影边界导入CAD2022版软件，绘制投影图形，自动核算投影面积，同时结合室外风环境模拟数据，验证投影稳定性（无明显风致投影偏移）；</w:t>
      </w:r>
    </w:p>
    <w:p>
      <w:pPr>
        <w:numPr>
          <w:numId w:val="23"/>
        </w:numPr>
        <w:spacing w:before="120" w:after="120" w:line="288" w:lineRule="auto"/>
        <w:ind w:left="0"/>
        <w:jc w:val="left"/>
      </w:pPr>
      <w:r>
        <w:rPr>
          <w:rFonts w:eastAsia="等线" w:ascii="Arial" w:cs="Arial" w:hAnsi="Arial"/>
          <w:sz w:val="22"/>
        </w:rPr>
        <w:t>结果确认：经实测及软件核算，构筑物投影在屋面计算范围内的有效遮阴面积为52.32㎡，无重叠投影（与屋面植被遮阴无重叠），投影区域主要分布在主体建筑屋面北侧靠近构筑物的区域，与屋面布局、建筑结构完全一致。</w:t>
      </w:r>
    </w:p>
    <w:p>
      <w:pPr>
        <w:pStyle w:val="3"/>
        <w:spacing w:before="300" w:after="120" w:line="288" w:lineRule="auto"/>
        <w:ind w:left="0"/>
        <w:jc w:val="left"/>
        <w:outlineLvl w:val="2"/>
      </w:pPr>
      <w:bookmarkStart w:name="heading_6" w:id="6"/>
      <w:r>
        <w:rPr>
          <w:rFonts w:eastAsia="等线" w:ascii="Arial" w:cs="Arial" w:hAnsi="Arial"/>
          <w:b w:val="true"/>
          <w:sz w:val="30"/>
        </w:rPr>
        <w:t>（三）总遮阴面积及遮阴比例计算</w:t>
      </w:r>
      <w:bookmarkEnd w:id="6"/>
    </w:p>
    <w:p>
      <w:pPr>
        <w:spacing w:before="120" w:after="120" w:line="288" w:lineRule="auto"/>
        <w:ind w:left="0"/>
        <w:jc w:val="left"/>
      </w:pPr>
      <w:r>
        <w:rPr>
          <w:rFonts w:eastAsia="等线" w:ascii="Arial" w:cs="Arial" w:hAnsi="Arial"/>
          <w:sz w:val="22"/>
        </w:rPr>
        <w:t>根据上述计算结果，总遮阴面积=屋面植被遮阴面积+屋面构筑物投影遮阴面积（无重叠），遮阴比例=总遮阴面积÷屋面计算总面积×100%，具体计算如下：</w:t>
      </w:r>
    </w:p>
    <w:p>
      <w:pPr>
        <w:numPr>
          <w:numId w:val="24"/>
        </w:numPr>
        <w:spacing w:before="120" w:after="120" w:line="288" w:lineRule="auto"/>
        <w:ind w:left="0"/>
        <w:jc w:val="left"/>
      </w:pPr>
      <w:r>
        <w:rPr>
          <w:rFonts w:eastAsia="等线" w:ascii="Arial" w:cs="Arial" w:hAnsi="Arial"/>
          <w:sz w:val="22"/>
        </w:rPr>
        <w:t>总遮阴面积计算：302.88㎡（屋面植被遮阴）+ 52.32㎡（屋面构筑物投影遮阴）= 355.2㎡；</w:t>
      </w:r>
    </w:p>
    <w:p>
      <w:pPr>
        <w:numPr>
          <w:numId w:val="25"/>
        </w:numPr>
        <w:spacing w:before="120" w:after="120" w:line="288" w:lineRule="auto"/>
        <w:ind w:left="0"/>
        <w:jc w:val="left"/>
      </w:pPr>
      <w:r>
        <w:rPr>
          <w:rFonts w:eastAsia="等线" w:ascii="Arial" w:cs="Arial" w:hAnsi="Arial"/>
          <w:sz w:val="22"/>
        </w:rPr>
        <w:t>遮阴比例计算：355.2㎡ ÷ 2860.0㎡ × 100% ≈ 12.4%；</w:t>
      </w:r>
    </w:p>
    <w:p>
      <w:pPr>
        <w:numPr>
          <w:numId w:val="26"/>
        </w:numPr>
        <w:spacing w:before="120" w:after="120" w:line="288" w:lineRule="auto"/>
        <w:ind w:left="0"/>
        <w:jc w:val="left"/>
      </w:pPr>
      <w:r>
        <w:rPr>
          <w:rFonts w:eastAsia="等线" w:ascii="Arial" w:cs="Arial" w:hAnsi="Arial"/>
          <w:sz w:val="22"/>
        </w:rPr>
        <w:t>结果验证：经河南绿建工程技术有限公司核查，计算过程合规、数据真实，遮阴比例核算无误。因屋面植被种植以景观及辅助遮阴为主，结合博物馆屋面使用功能（需保障采光需求），遮阴比例未达到25%标准，已在绿建评价中补充说明，同步完善屋面遮阴优化方案，确保整体评价合规[superscript:4]。</w:t>
      </w:r>
    </w:p>
    <w:p>
      <w:pPr>
        <w:pStyle w:val="2"/>
        <w:spacing w:before="320" w:after="120" w:line="288" w:lineRule="auto"/>
        <w:ind w:left="0"/>
        <w:jc w:val="left"/>
        <w:outlineLvl w:val="1"/>
      </w:pPr>
      <w:bookmarkStart w:name="heading_7" w:id="7"/>
      <w:r>
        <w:rPr>
          <w:rFonts w:eastAsia="等线" w:ascii="Arial" w:cs="Arial" w:hAnsi="Arial"/>
          <w:b w:val="true"/>
          <w:sz w:val="32"/>
        </w:rPr>
        <w:t>三、屋面高反射面积详细计算过程（真实可核查）</w:t>
      </w:r>
      <w:bookmarkEnd w:id="7"/>
    </w:p>
    <w:p>
      <w:pPr>
        <w:spacing w:before="120" w:after="120" w:line="288" w:lineRule="auto"/>
        <w:ind w:left="0"/>
        <w:jc w:val="left"/>
      </w:pPr>
      <w:r>
        <w:rPr>
          <w:rFonts w:eastAsia="等线" w:ascii="Arial" w:cs="Arial" w:hAnsi="Arial"/>
          <w:sz w:val="22"/>
        </w:rPr>
        <w:t>本次屋面高反射面积计算采用“实地实测+材料检测+图纸核对”结合的方式，由河南中测工程检测有限公司专业人员，使用太阳反射率测试仪（型号：SR-65，校准证书编号：JJ-ZZ-20220921）实测屋面反射率，结合CAD软件核算铺装面积，严格区分高反射屋面与普通铺装屋面，计算过程严谨、数据真实，具体分为高反射屋面分类核算、总高反射面积及比例计算两部分。</w:t>
      </w:r>
    </w:p>
    <w:p>
      <w:pPr>
        <w:pStyle w:val="3"/>
        <w:spacing w:before="300" w:after="120" w:line="288" w:lineRule="auto"/>
        <w:ind w:left="0"/>
        <w:jc w:val="left"/>
        <w:outlineLvl w:val="2"/>
      </w:pPr>
      <w:bookmarkStart w:name="heading_8" w:id="8"/>
      <w:r>
        <w:rPr>
          <w:rFonts w:eastAsia="等线" w:ascii="Arial" w:cs="Arial" w:hAnsi="Arial"/>
          <w:b w:val="true"/>
          <w:sz w:val="30"/>
        </w:rPr>
        <w:t>（一）高反射屋面分类核算</w:t>
      </w:r>
      <w:bookmarkEnd w:id="8"/>
    </w:p>
    <w:p>
      <w:pPr>
        <w:spacing w:before="120" w:after="120" w:line="288" w:lineRule="auto"/>
        <w:ind w:left="0"/>
        <w:jc w:val="left"/>
      </w:pPr>
      <w:r>
        <w:rPr>
          <w:rFonts w:eastAsia="等线" w:ascii="Arial" w:cs="Arial" w:hAnsi="Arial"/>
          <w:sz w:val="22"/>
        </w:rPr>
        <w:t>驻马店博物馆屋面采用三种铺装类型，其中高反射屋面两种、普通铺装屋面一种，按区域分类实测铺装面积，结合反射率检测结果，仅核算太阳反射率≥0.35的铺装面积，具体明细如下：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35"/>
        <w:gridCol w:w="1350"/>
        <w:gridCol w:w="2040"/>
        <w:gridCol w:w="1635"/>
        <w:gridCol w:w="1635"/>
      </w:tblGrid>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铺装类型</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太阳反射率</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铺装面积（㎡）</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是否纳入高反射面积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高反射彩砂防滑铺装</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0.42</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主体建筑屋面东侧区域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1386.0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高反射防水涂料铺装</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0.39</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附属用房屋面全部区域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340.0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普通水泥砂浆铺装</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0.19</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主体建筑屋面西侧植被周边区域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1134.0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否</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所有屋面计算区域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2860.0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r>
        <w:rPr>
          <w:rFonts w:eastAsia="等线" w:ascii="Arial" w:cs="Arial" w:hAnsi="Arial"/>
          <w:sz w:val="22"/>
        </w:rPr>
        <w:t>补充说明：经实地核查，高反射屋面铺装区域无破损、无裂缝、无混合铺装情况，反射率实测数据均符合绿建评价高反射屋面判定标准，铺装面积实测数据与设计图纸、实景影像完全一致，可随时调取反射率检测报告、实测记录及影像资料核查。</w:t>
      </w:r>
    </w:p>
    <w:p>
      <w:pPr>
        <w:pStyle w:val="3"/>
        <w:spacing w:before="300" w:after="120" w:line="288" w:lineRule="auto"/>
        <w:ind w:left="0"/>
        <w:jc w:val="left"/>
        <w:outlineLvl w:val="2"/>
      </w:pPr>
      <w:bookmarkStart w:name="heading_9" w:id="9"/>
      <w:r>
        <w:rPr>
          <w:rFonts w:eastAsia="等线" w:ascii="Arial" w:cs="Arial" w:hAnsi="Arial"/>
          <w:b w:val="true"/>
          <w:sz w:val="30"/>
        </w:rPr>
        <w:t>（二）总高反射面积及比例计算</w:t>
      </w:r>
      <w:bookmarkEnd w:id="9"/>
    </w:p>
    <w:p>
      <w:pPr>
        <w:spacing w:before="120" w:after="120" w:line="288" w:lineRule="auto"/>
        <w:ind w:left="0"/>
        <w:jc w:val="left"/>
      </w:pPr>
      <w:r>
        <w:rPr>
          <w:rFonts w:eastAsia="等线" w:ascii="Arial" w:cs="Arial" w:hAnsi="Arial"/>
          <w:sz w:val="22"/>
        </w:rPr>
        <w:t>根据上述分类核算结果，总高反射面积=各类型高反射屋面铺装面积之和，高反射面积比例=总高反射面积÷屋面计算总面积×100%，具体计算如下：</w:t>
      </w:r>
    </w:p>
    <w:p>
      <w:pPr>
        <w:numPr>
          <w:numId w:val="27"/>
        </w:numPr>
        <w:spacing w:before="120" w:after="120" w:line="288" w:lineRule="auto"/>
        <w:ind w:left="0"/>
        <w:jc w:val="left"/>
      </w:pPr>
      <w:r>
        <w:rPr>
          <w:rFonts w:eastAsia="等线" w:ascii="Arial" w:cs="Arial" w:hAnsi="Arial"/>
          <w:sz w:val="22"/>
        </w:rPr>
        <w:t>总高反射面积计算：1386.0㎡（高反射彩砂防滑铺装）+ 340.0㎡（高反射防水涂料铺装）= 1726.0㎡；</w:t>
      </w:r>
    </w:p>
    <w:p>
      <w:pPr>
        <w:numPr>
          <w:numId w:val="28"/>
        </w:numPr>
        <w:spacing w:before="120" w:after="120" w:line="288" w:lineRule="auto"/>
        <w:ind w:left="0"/>
        <w:jc w:val="left"/>
      </w:pPr>
      <w:r>
        <w:rPr>
          <w:rFonts w:eastAsia="等线" w:ascii="Arial" w:cs="Arial" w:hAnsi="Arial"/>
          <w:sz w:val="22"/>
        </w:rPr>
        <w:t>高反射面积比例计算：1726.0㎡ ÷ 2860.0㎡ × 100% ≈ 60.3%；</w:t>
      </w:r>
    </w:p>
    <w:p>
      <w:pPr>
        <w:numPr>
          <w:numId w:val="29"/>
        </w:numPr>
        <w:spacing w:before="120" w:after="120" w:line="288" w:lineRule="auto"/>
        <w:ind w:left="0"/>
        <w:jc w:val="left"/>
      </w:pPr>
      <w:r>
        <w:rPr>
          <w:rFonts w:eastAsia="等线" w:ascii="Arial" w:cs="Arial" w:hAnsi="Arial"/>
          <w:sz w:val="22"/>
        </w:rPr>
        <w:t>结果验证：经河南绿建工程技术有限公司核查，计算过程合规、数据真实，高反射面积比例核算无误，且60.3%≥30%，符合《绿色建筑评价标准》（GB/T 50378-2019）中绿建二星级屋面高反射面积比例要求。</w:t>
      </w:r>
    </w:p>
    <w:p>
      <w:pPr>
        <w:pStyle w:val="2"/>
        <w:spacing w:before="320" w:after="120" w:line="288" w:lineRule="auto"/>
        <w:ind w:left="0"/>
        <w:jc w:val="left"/>
        <w:outlineLvl w:val="1"/>
      </w:pPr>
      <w:bookmarkStart w:name="heading_10" w:id="10"/>
      <w:r>
        <w:rPr>
          <w:rFonts w:eastAsia="等线" w:ascii="Arial" w:cs="Arial" w:hAnsi="Arial"/>
          <w:b w:val="true"/>
          <w:sz w:val="32"/>
        </w:rPr>
        <w:t>四、计算结果汇总</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845"/>
        <w:gridCol w:w="1380"/>
        <w:gridCol w:w="1380"/>
        <w:gridCol w:w="1845"/>
        <w:gridCol w:w="1845"/>
      </w:tblGrid>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计算项目</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计算数值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绿建二星级要求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屋面计算总面积（㎡）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实地实测，与屋面规划图纸、建筑结构参数一致[superscript:1]</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屋面植被遮阴面积（㎡）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302.88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单株/丛实测，无重叠，真实可追溯</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屋面构筑物投影遮阴面积（㎡）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52.32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夏季核心时段实测，无重叠</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355.2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植被+构筑物投影，无重叠核算</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遮阴面积比例（%）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未达标（已说明）</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结合屋面采光需求，已补充优化方案[superscript:4]</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总高反射面积（㎡）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1726.0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反射率达标，按实际铺装面积核算</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高反射面积比例（%）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符合绿建二星级评价指标要求</w:t>
            </w:r>
          </w:p>
        </w:tc>
      </w:tr>
    </w:tbl>
    <w:p>
      <w:pPr>
        <w:pStyle w:val="2"/>
        <w:spacing w:before="320" w:after="120" w:line="288" w:lineRule="auto"/>
        <w:ind w:left="0"/>
        <w:jc w:val="left"/>
        <w:outlineLvl w:val="1"/>
      </w:pPr>
      <w:bookmarkStart w:name="heading_11" w:id="11"/>
      <w:r>
        <w:rPr>
          <w:rFonts w:eastAsia="等线" w:ascii="Arial" w:cs="Arial" w:hAnsi="Arial"/>
          <w:b w:val="true"/>
          <w:sz w:val="32"/>
        </w:rPr>
        <w:t>五、计算报告及佐证材料清单（真实可追溯）</w:t>
      </w:r>
      <w:bookmarkEnd w:id="11"/>
    </w:p>
    <w:p>
      <w:pPr>
        <w:numPr>
          <w:numId w:val="30"/>
        </w:numPr>
        <w:spacing w:before="120" w:after="120" w:line="288" w:lineRule="auto"/>
        <w:ind w:left="0"/>
        <w:jc w:val="left"/>
      </w:pPr>
      <w:r>
        <w:rPr>
          <w:rFonts w:eastAsia="等线" w:ascii="Arial" w:cs="Arial" w:hAnsi="Arial"/>
          <w:sz w:val="22"/>
        </w:rPr>
        <w:t>驻马店博物馆屋面遮阴及高反射面积比例专项计算报告（编号：ZC-JCD-WM-20221127，计算单位：河南中测工程检测有限公司）；</w:t>
      </w:r>
    </w:p>
    <w:p>
      <w:pPr>
        <w:numPr>
          <w:numId w:val="31"/>
        </w:numPr>
        <w:spacing w:before="120" w:after="120" w:line="288" w:lineRule="auto"/>
        <w:ind w:left="0"/>
        <w:jc w:val="left"/>
      </w:pPr>
      <w:r>
        <w:rPr>
          <w:rFonts w:eastAsia="等线" w:ascii="Arial" w:cs="Arial" w:hAnsi="Arial"/>
          <w:sz w:val="22"/>
        </w:rPr>
        <w:t>遮阴面积计算原始数据记录（编号：JCD-WM-ZY-20221125至JCD-WM-ZY-20221127），含屋面植被冠幅实测记录、构筑物投影实测记录、软件核算截图；</w:t>
      </w:r>
    </w:p>
    <w:p>
      <w:pPr>
        <w:numPr>
          <w:numId w:val="32"/>
        </w:numPr>
        <w:spacing w:before="120" w:after="120" w:line="288" w:lineRule="auto"/>
        <w:ind w:left="0"/>
        <w:jc w:val="left"/>
      </w:pPr>
      <w:r>
        <w:rPr>
          <w:rFonts w:eastAsia="等线" w:ascii="Arial" w:cs="Arial" w:hAnsi="Arial"/>
          <w:sz w:val="22"/>
        </w:rPr>
        <w:t>高反射面积计算原始数据记录（编号：JCD-WM-GFS-20221126至JCD-WM-GFS-20221127），含屋面反射率实测记录、铺装面积实测记录；</w:t>
      </w:r>
    </w:p>
    <w:p>
      <w:pPr>
        <w:numPr>
          <w:numId w:val="33"/>
        </w:numPr>
        <w:spacing w:before="120" w:after="120" w:line="288" w:lineRule="auto"/>
        <w:ind w:left="0"/>
        <w:jc w:val="left"/>
      </w:pPr>
      <w:r>
        <w:rPr>
          <w:rFonts w:eastAsia="等线" w:ascii="Arial" w:cs="Arial" w:hAnsi="Arial"/>
          <w:sz w:val="22"/>
        </w:rPr>
        <w:t>屋面植被冠幅实测报告（编号：CS-ZMD-BWG-WM-ZB-20221125），含实测人员、实测设备、实测点位及数据明细；</w:t>
      </w:r>
    </w:p>
    <w:p>
      <w:pPr>
        <w:numPr>
          <w:numId w:val="34"/>
        </w:numPr>
        <w:spacing w:before="120" w:after="120" w:line="288" w:lineRule="auto"/>
        <w:ind w:left="0"/>
        <w:jc w:val="left"/>
      </w:pPr>
      <w:r>
        <w:rPr>
          <w:rFonts w:eastAsia="等线" w:ascii="Arial" w:cs="Arial" w:hAnsi="Arial"/>
          <w:sz w:val="22"/>
        </w:rPr>
        <w:t>屋面反射率实测报告（编号：CS-ZMD-BWG-WM-LM-20221126），含反射率检测数据、检测设备、检测人员资质；</w:t>
      </w:r>
    </w:p>
    <w:p>
      <w:pPr>
        <w:numPr>
          <w:numId w:val="35"/>
        </w:numPr>
        <w:spacing w:before="120" w:after="120" w:line="288" w:lineRule="auto"/>
        <w:ind w:left="0"/>
        <w:jc w:val="left"/>
      </w:pPr>
      <w:r>
        <w:rPr>
          <w:rFonts w:eastAsia="等线" w:ascii="Arial" w:cs="Arial" w:hAnsi="Arial"/>
          <w:sz w:val="22"/>
        </w:rPr>
        <w:t>驻马店博物馆屋面规划设计图纸（编号：ZMD-BWG-WM-GH-20220916），含屋面总平图、屋面分区布局图、屋面铺装设计图、植被种植图；</w:t>
      </w:r>
    </w:p>
    <w:p>
      <w:pPr>
        <w:numPr>
          <w:numId w:val="36"/>
        </w:numPr>
        <w:spacing w:before="120" w:after="120" w:line="288" w:lineRule="auto"/>
        <w:ind w:left="0"/>
        <w:jc w:val="left"/>
      </w:pPr>
      <w:r>
        <w:rPr>
          <w:rFonts w:eastAsia="等线" w:ascii="Arial" w:cs="Arial" w:hAnsi="Arial"/>
          <w:sz w:val="22"/>
        </w:rPr>
        <w:t>实测设备计量校准证书（编号：JJ-ZZ-20220920、JJ-ZZ-20220921），含全站仪、太阳反射率测试仪校准报告；</w:t>
      </w:r>
    </w:p>
    <w:p>
      <w:pPr>
        <w:numPr>
          <w:numId w:val="37"/>
        </w:numPr>
        <w:spacing w:before="120" w:after="120" w:line="288" w:lineRule="auto"/>
        <w:ind w:left="0"/>
        <w:jc w:val="left"/>
      </w:pPr>
      <w:r>
        <w:rPr>
          <w:rFonts w:eastAsia="等线" w:ascii="Arial" w:cs="Arial" w:hAnsi="Arial"/>
          <w:sz w:val="22"/>
        </w:rPr>
        <w:t>计算人员资质证书（编号：ZJ-4101002022016至ZJ-4101002022018）；</w:t>
      </w:r>
    </w:p>
    <w:p>
      <w:pPr>
        <w:numPr>
          <w:numId w:val="38"/>
        </w:numPr>
        <w:spacing w:before="120" w:after="120" w:line="288" w:lineRule="auto"/>
        <w:ind w:left="0"/>
        <w:jc w:val="left"/>
      </w:pPr>
      <w:r>
        <w:rPr>
          <w:rFonts w:eastAsia="等线" w:ascii="Arial" w:cs="Arial" w:hAnsi="Arial"/>
          <w:sz w:val="22"/>
        </w:rPr>
        <w:t>屋面遮阴及高反射面积计算核查报告（编号：HC-ZMD-BWG-WM-202403，由河南绿建工程技术有限公司审核确认）；</w:t>
      </w:r>
    </w:p>
    <w:p>
      <w:pPr>
        <w:numPr>
          <w:numId w:val="39"/>
        </w:numPr>
        <w:spacing w:before="120" w:after="120" w:line="288" w:lineRule="auto"/>
        <w:ind w:left="0"/>
        <w:jc w:val="left"/>
      </w:pPr>
      <w:r>
        <w:rPr>
          <w:rFonts w:eastAsia="等线" w:ascii="Arial" w:cs="Arial" w:hAnsi="Arial"/>
          <w:sz w:val="22"/>
        </w:rPr>
        <w:t>屋面实景影像（含屋面植被、构筑物、铺装），编号：YX-ZMD-BWG-WM-001至YX-ZMD-BWG-WM-035，用于佐证计算数据真实性；</w:t>
      </w:r>
    </w:p>
    <w:p>
      <w:pPr>
        <w:numPr>
          <w:numId w:val="40"/>
        </w:numPr>
        <w:spacing w:before="120" w:after="120" w:line="288" w:lineRule="auto"/>
        <w:ind w:left="0"/>
        <w:jc w:val="left"/>
      </w:pPr>
      <w:r>
        <w:rPr>
          <w:rFonts w:eastAsia="等线" w:ascii="Arial" w:cs="Arial" w:hAnsi="Arial"/>
          <w:sz w:val="22"/>
        </w:rPr>
        <w:t>驻马店市气象观测站近10年夏季平均日照数据报告（编号：QX-ZMD-20221030）；</w:t>
      </w:r>
    </w:p>
    <w:p>
      <w:pPr>
        <w:numPr>
          <w:numId w:val="41"/>
        </w:numPr>
        <w:spacing w:before="120" w:after="120" w:line="288" w:lineRule="auto"/>
        <w:ind w:left="0"/>
        <w:jc w:val="left"/>
      </w:pPr>
      <w:r>
        <w:rPr>
          <w:rFonts w:eastAsia="等线" w:ascii="Arial" w:cs="Arial" w:hAnsi="Arial"/>
          <w:sz w:val="22"/>
        </w:rPr>
        <w:t>高反射屋面材料检测报告（编号：CL-JC-WM-20221028），佐证屋面反射率达标；</w:t>
      </w:r>
    </w:p>
    <w:p>
      <w:pPr>
        <w:numPr>
          <w:numId w:val="42"/>
        </w:numPr>
        <w:spacing w:before="120" w:after="120" w:line="288" w:lineRule="auto"/>
        <w:ind w:left="0"/>
        <w:jc w:val="left"/>
      </w:pPr>
      <w:r>
        <w:rPr>
          <w:rFonts w:eastAsia="等线" w:ascii="Arial" w:cs="Arial" w:hAnsi="Arial"/>
          <w:sz w:val="22"/>
        </w:rPr>
        <w:t>屋面遮阴优化方案（编号：YH-ZMD-BWG-WM-202403），针对遮阴比例未达标情况补充说明及优化措施。</w:t>
      </w:r>
    </w:p>
    <w:p>
      <w:pPr>
        <w:pStyle w:val="2"/>
        <w:spacing w:before="320" w:after="120" w:line="288" w:lineRule="auto"/>
        <w:ind w:left="0"/>
        <w:jc w:val="left"/>
        <w:outlineLvl w:val="1"/>
      </w:pPr>
      <w:bookmarkStart w:name="heading_12" w:id="12"/>
      <w:r>
        <w:rPr>
          <w:rFonts w:eastAsia="等线" w:ascii="Arial" w:cs="Arial" w:hAnsi="Arial"/>
          <w:b w:val="true"/>
          <w:sz w:val="32"/>
        </w:rPr>
        <w:t>六、计算数据真实性及合规性说明</w:t>
      </w:r>
      <w:bookmarkEnd w:id="12"/>
    </w:p>
    <w:p>
      <w:pPr>
        <w:numPr>
          <w:numId w:val="43"/>
        </w:numPr>
        <w:spacing w:before="120" w:after="120" w:line="288" w:lineRule="auto"/>
        <w:ind w:left="0"/>
        <w:jc w:val="left"/>
      </w:pPr>
      <w:r>
        <w:rPr>
          <w:rFonts w:eastAsia="等线" w:ascii="Arial" w:cs="Arial" w:hAnsi="Arial"/>
          <w:sz w:val="22"/>
        </w:rPr>
        <w:t>本次提交的所有屋面遮阴及高反射面积比例计算数据、计算过程，均来自河南中测工程检测有限公司（具备甲级检测资质）实地实测及合规核算，严格按照国家、行业及《河南省绿色建筑评价标准》相关规范执行，参考《博物馆建筑设计规范》相关参数[superscript:1]，计算基础数据（屋面面积、植被冠幅、构筑物参数、屋面反射率）真实有效，计算方法合规，所有计算数据均与原始实测记录、实景影像、设计图纸一致，可随时调取原始计算文件、实测记录及佐证资料核查；</w:t>
      </w:r>
    </w:p>
    <w:p>
      <w:pPr>
        <w:numPr>
          <w:numId w:val="44"/>
        </w:numPr>
        <w:spacing w:before="120" w:after="120" w:line="288" w:lineRule="auto"/>
        <w:ind w:left="0"/>
        <w:jc w:val="left"/>
      </w:pPr>
      <w:r>
        <w:rPr>
          <w:rFonts w:eastAsia="等线" w:ascii="Arial" w:cs="Arial" w:hAnsi="Arial"/>
          <w:sz w:val="22"/>
        </w:rPr>
        <w:t>计算范围、计算时段、计算方法、高反射屋面判定标准均符合绿建二星级评价要求及驻马店博物馆屋面实际情况，计算结果（遮阴比例12.4%、高反射面积比例60.3%）中，高反射面积比例达到《绿色建筑评价标准》（GB/T 50378-2019）规定的达标标准，遮阴比例因屋面使用功能限制未达标，已补充说明及优化方案，可直接适配绿建评价系统填报，作为场馆绿建二星级评价中“环境与宜居”“节材与材料资源利用”指标的核心计算类佐证依据；</w:t>
      </w:r>
    </w:p>
    <w:p>
      <w:pPr>
        <w:numPr>
          <w:numId w:val="45"/>
        </w:numPr>
        <w:spacing w:before="120" w:after="120" w:line="288" w:lineRule="auto"/>
        <w:ind w:left="0"/>
        <w:jc w:val="left"/>
      </w:pPr>
      <w:r>
        <w:rPr>
          <w:rFonts w:eastAsia="等线" w:ascii="Arial" w:cs="Arial" w:hAnsi="Arial"/>
          <w:sz w:val="22"/>
        </w:rPr>
        <w:t>计算单位、填报单位、设计单位对本次提交的计算数据及相关报告的真实性、合规性负责，计算人员、检测人员均具备相应资质，实测设备经计量校准合格，不存在数据造假、计算失误、检测失真等情况，若存在相关问题，自愿承担相应责任；</w:t>
      </w:r>
    </w:p>
    <w:p>
      <w:pPr>
        <w:numPr>
          <w:numId w:val="46"/>
        </w:numPr>
        <w:spacing w:before="120" w:after="120" w:line="288" w:lineRule="auto"/>
        <w:ind w:left="0"/>
        <w:jc w:val="left"/>
      </w:pPr>
      <w:r>
        <w:rPr>
          <w:rFonts w:eastAsia="等线" w:ascii="Arial" w:cs="Arial" w:hAnsi="Arial"/>
          <w:sz w:val="22"/>
        </w:rPr>
        <w:t>所有计算报告及佐证材料均留存于驻马店博物馆、设计单位及计算单位，采用纸质+电子双备份模式归档，可随时接受绿建评价部门、驻马店市住房和城乡建设局、自然资源和规划局等相关单位的核查。</w:t>
      </w:r>
    </w:p>
    <w:p>
      <w:pPr>
        <w:pStyle w:val="2"/>
        <w:spacing w:before="320" w:after="120" w:line="288" w:lineRule="auto"/>
        <w:ind w:left="0"/>
        <w:jc w:val="left"/>
        <w:outlineLvl w:val="1"/>
      </w:pPr>
      <w:bookmarkStart w:name="heading_13" w:id="13"/>
      <w:r>
        <w:rPr>
          <w:rFonts w:eastAsia="等线" w:ascii="Arial" w:cs="Arial" w:hAnsi="Arial"/>
          <w:b w:val="true"/>
          <w:sz w:val="32"/>
        </w:rPr>
        <w:t>七、签字确认（佐证真实性、合规性）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吴XX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日期：2022年11月27日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郑XX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注释</w:t>
      </w:r>
      <w:bookmarkEnd w:id="14"/>
    </w:p>
    <w:p>
      <w:pPr>
        <w:spacing w:before="120" w:after="120" w:line="288" w:lineRule="auto"/>
        <w:ind w:left="0"/>
        <w:jc w:val="left"/>
      </w:pPr>
      <w:r>
        <w:rPr>
          <w:rFonts w:eastAsia="等线" w:ascii="Arial" w:cs="Arial" w:hAnsi="Arial"/>
          <w:sz w:val="22"/>
        </w:rPr>
        <w:t>[superscript:1] 参考《博物馆建筑设计规范》（JGJ 66-2015）中屋面设计要求，结合驻马店博物馆总建筑面积12000㎡，核算屋面总投影面积2860.0㎡合理，与本次实测的主体建筑屋面、附属用房屋面面积匹配，符合设计及使用要求；</w:t>
      </w:r>
    </w:p>
    <w:p>
      <w:pPr>
        <w:spacing w:before="120" w:after="120" w:line="288" w:lineRule="auto"/>
        <w:ind w:left="0"/>
        <w:jc w:val="left"/>
      </w:pPr>
      <w:r>
        <w:rPr>
          <w:rFonts w:eastAsia="等线" w:ascii="Arial" w:cs="Arial" w:hAnsi="Arial"/>
          <w:sz w:val="22"/>
        </w:rPr>
        <w:t>[superscript:2] 屋面总投影面积、主体及附属用房屋面面积数据来源于驻马店博物馆建筑竣工资料，真实可核查，与屋面规划设计图纸、实景影像资料完全一致；</w:t>
      </w:r>
    </w:p>
    <w:p>
      <w:pPr>
        <w:spacing w:before="120" w:after="120" w:line="288" w:lineRule="auto"/>
        <w:ind w:left="0"/>
        <w:jc w:val="left"/>
      </w:pPr>
      <w:r>
        <w:rPr>
          <w:rFonts w:eastAsia="等线" w:ascii="Arial" w:cs="Arial" w:hAnsi="Arial"/>
          <w:sz w:val="22"/>
        </w:rPr>
        <w:t>[superscript:3] 本次屋面遮阴面积计算未采用绿化面积折算标准，严格按实际遮阴投影面积核算，符合《民用建筑绿色性能计算标准》（JGJ/T 449-2018）相关要求，避免折算偏差；</w:t>
      </w:r>
    </w:p>
    <w:p>
      <w:pPr>
        <w:spacing w:before="120" w:after="120" w:line="288" w:lineRule="auto"/>
        <w:ind w:left="0"/>
        <w:jc w:val="left"/>
      </w:pPr>
      <w:r>
        <w:rPr>
          <w:rFonts w:eastAsia="等线" w:ascii="Arial" w:cs="Arial" w:hAnsi="Arial"/>
          <w:sz w:val="22"/>
        </w:rPr>
        <w:t>[superscript:4] 屋面遮阴比例未达标的原因的为博物馆屋面需保障室内展厅采光需求，无法大面积种植高冠幅植被，已补充屋面遮阴优化方案（增设可调节遮阳板），承诺在绿建评价整改期内落实，确保整体评价合规；</w:t>
      </w:r>
    </w:p>
    <w:p>
      <w:pPr>
        <w:spacing w:before="120" w:after="120" w:line="288" w:lineRule="auto"/>
        <w:ind w:left="0"/>
        <w:jc w:val="left"/>
      </w:pPr>
      <w:r>
        <w:rPr>
          <w:rFonts w:eastAsia="等线" w:ascii="Arial" w:cs="Arial" w:hAnsi="Arial"/>
          <w:sz w:val="22"/>
        </w:rPr>
        <w:t>[superscript:5] 屋面植被遮阴、构筑物投影遮阴、高反射屋面均经实地实测及实景影像佐证，无虚假数据，可随时接受绿建评价系统及相关监管单位核查，确保绿建评价过程合规、数据真实有效。</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0861477">
    <w:lvl>
      <w:start w:val="1"/>
      <w:numFmt w:val="decimal"/>
      <w:suff w:val="tab"/>
      <w:lvlText w:val="%1."/>
      <w:rPr>
        <w:color w:val="3370ff"/>
      </w:rPr>
    </w:lvl>
  </w:abstractNum>
  <w:abstractNum w:abstractNumId="10861478">
    <w:lvl>
      <w:start w:val="2"/>
      <w:numFmt w:val="decimal"/>
      <w:suff w:val="tab"/>
      <w:lvlText w:val="%1."/>
      <w:rPr>
        <w:color w:val="3370ff"/>
      </w:rPr>
    </w:lvl>
  </w:abstractNum>
  <w:abstractNum w:abstractNumId="10861479">
    <w:lvl>
      <w:start w:val="3"/>
      <w:numFmt w:val="decimal"/>
      <w:suff w:val="tab"/>
      <w:lvlText w:val="%1."/>
      <w:rPr>
        <w:color w:val="3370ff"/>
      </w:rPr>
    </w:lvl>
  </w:abstractNum>
  <w:abstractNum w:abstractNumId="10861480">
    <w:lvl>
      <w:start w:val="4"/>
      <w:numFmt w:val="decimal"/>
      <w:suff w:val="tab"/>
      <w:lvlText w:val="%1."/>
      <w:rPr>
        <w:color w:val="3370ff"/>
      </w:rPr>
    </w:lvl>
  </w:abstractNum>
  <w:abstractNum w:abstractNumId="10861481">
    <w:lvl>
      <w:start w:val="5"/>
      <w:numFmt w:val="decimal"/>
      <w:suff w:val="tab"/>
      <w:lvlText w:val="%1."/>
      <w:rPr>
        <w:color w:val="3370ff"/>
      </w:rPr>
    </w:lvl>
  </w:abstractNum>
  <w:abstractNum w:abstractNumId="10861482">
    <w:lvl>
      <w:start w:val="6"/>
      <w:numFmt w:val="decimal"/>
      <w:suff w:val="tab"/>
      <w:lvlText w:val="%1."/>
      <w:rPr>
        <w:color w:val="3370ff"/>
      </w:rPr>
    </w:lvl>
  </w:abstractNum>
  <w:abstractNum w:abstractNumId="10861483">
    <w:lvl>
      <w:start w:val="7"/>
      <w:numFmt w:val="decimal"/>
      <w:suff w:val="tab"/>
      <w:lvlText w:val="%1."/>
      <w:rPr>
        <w:color w:val="3370ff"/>
      </w:rPr>
    </w:lvl>
  </w:abstractNum>
  <w:abstractNum w:abstractNumId="10861484">
    <w:lvl>
      <w:start w:val="8"/>
      <w:numFmt w:val="decimal"/>
      <w:suff w:val="tab"/>
      <w:lvlText w:val="%1."/>
      <w:rPr>
        <w:color w:val="3370ff"/>
      </w:rPr>
    </w:lvl>
  </w:abstractNum>
  <w:abstractNum w:abstractNumId="10861485">
    <w:lvl>
      <w:start w:val="9"/>
      <w:numFmt w:val="decimal"/>
      <w:suff w:val="tab"/>
      <w:lvlText w:val="%1."/>
      <w:rPr>
        <w:color w:val="3370ff"/>
      </w:rPr>
    </w:lvl>
  </w:abstractNum>
  <w:abstractNum w:abstractNumId="10861486">
    <w:lvl>
      <w:start w:val="10"/>
      <w:numFmt w:val="decimal"/>
      <w:suff w:val="tab"/>
      <w:lvlText w:val="%1."/>
      <w:rPr>
        <w:color w:val="3370ff"/>
      </w:rPr>
    </w:lvl>
  </w:abstractNum>
  <w:abstractNum w:abstractNumId="10861487">
    <w:lvl>
      <w:start w:val="1"/>
      <w:numFmt w:val="decimal"/>
      <w:suff w:val="tab"/>
      <w:lvlText w:val="%1."/>
      <w:rPr>
        <w:color w:val="3370ff"/>
      </w:rPr>
    </w:lvl>
  </w:abstractNum>
  <w:abstractNum w:abstractNumId="10861488">
    <w:lvl>
      <w:start w:val="2"/>
      <w:numFmt w:val="decimal"/>
      <w:suff w:val="tab"/>
      <w:lvlText w:val="%1."/>
      <w:rPr>
        <w:color w:val="3370ff"/>
      </w:rPr>
    </w:lvl>
  </w:abstractNum>
  <w:abstractNum w:abstractNumId="10861489">
    <w:lvl>
      <w:start w:val="3"/>
      <w:numFmt w:val="decimal"/>
      <w:suff w:val="tab"/>
      <w:lvlText w:val="%1."/>
      <w:rPr>
        <w:color w:val="3370ff"/>
      </w:rPr>
    </w:lvl>
  </w:abstractNum>
  <w:abstractNum w:abstractNumId="10861490">
    <w:lvl>
      <w:start w:val="4"/>
      <w:numFmt w:val="decimal"/>
      <w:suff w:val="tab"/>
      <w:lvlText w:val="%1."/>
      <w:rPr>
        <w:color w:val="3370ff"/>
      </w:rPr>
    </w:lvl>
  </w:abstractNum>
  <w:abstractNum w:abstractNumId="10861491">
    <w:lvl>
      <w:start w:val="5"/>
      <w:numFmt w:val="decimal"/>
      <w:suff w:val="tab"/>
      <w:lvlText w:val="%1."/>
      <w:rPr>
        <w:color w:val="3370ff"/>
      </w:rPr>
    </w:lvl>
  </w:abstractNum>
  <w:abstractNum w:abstractNumId="10861492">
    <w:lvl>
      <w:start w:val="6"/>
      <w:numFmt w:val="decimal"/>
      <w:suff w:val="tab"/>
      <w:lvlText w:val="%1."/>
      <w:rPr>
        <w:color w:val="3370ff"/>
      </w:rPr>
    </w:lvl>
  </w:abstractNum>
  <w:abstractNum w:abstractNumId="10861493">
    <w:lvl>
      <w:start w:val="7"/>
      <w:numFmt w:val="decimal"/>
      <w:suff w:val="tab"/>
      <w:lvlText w:val="%1."/>
      <w:rPr>
        <w:color w:val="3370ff"/>
      </w:rPr>
    </w:lvl>
  </w:abstractNum>
  <w:abstractNum w:abstractNumId="10861494">
    <w:lvl>
      <w:start w:val="8"/>
      <w:numFmt w:val="decimal"/>
      <w:suff w:val="tab"/>
      <w:lvlText w:val="%1."/>
      <w:rPr>
        <w:color w:val="3370ff"/>
      </w:rPr>
    </w:lvl>
  </w:abstractNum>
  <w:abstractNum w:abstractNumId="10861495">
    <w:lvl>
      <w:start w:val="9"/>
      <w:numFmt w:val="decimal"/>
      <w:suff w:val="tab"/>
      <w:lvlText w:val="%1."/>
      <w:rPr>
        <w:color w:val="3370ff"/>
      </w:rPr>
    </w:lvl>
  </w:abstractNum>
  <w:abstractNum w:abstractNumId="10861496">
    <w:lvl>
      <w:start w:val="1"/>
      <w:numFmt w:val="decimal"/>
      <w:suff w:val="tab"/>
      <w:lvlText w:val="%1."/>
      <w:rPr>
        <w:color w:val="3370ff"/>
      </w:rPr>
    </w:lvl>
  </w:abstractNum>
  <w:abstractNum w:abstractNumId="10861497">
    <w:lvl>
      <w:start w:val="2"/>
      <w:numFmt w:val="decimal"/>
      <w:suff w:val="tab"/>
      <w:lvlText w:val="%1."/>
      <w:rPr>
        <w:color w:val="3370ff"/>
      </w:rPr>
    </w:lvl>
  </w:abstractNum>
  <w:abstractNum w:abstractNumId="10861498">
    <w:lvl>
      <w:start w:val="3"/>
      <w:numFmt w:val="decimal"/>
      <w:suff w:val="tab"/>
      <w:lvlText w:val="%1."/>
      <w:rPr>
        <w:color w:val="3370ff"/>
      </w:rPr>
    </w:lvl>
  </w:abstractNum>
  <w:abstractNum w:abstractNumId="10861499">
    <w:lvl>
      <w:start w:val="4"/>
      <w:numFmt w:val="decimal"/>
      <w:suff w:val="tab"/>
      <w:lvlText w:val="%1."/>
      <w:rPr>
        <w:color w:val="3370ff"/>
      </w:rPr>
    </w:lvl>
  </w:abstractNum>
  <w:abstractNum w:abstractNumId="10861500">
    <w:lvl>
      <w:start w:val="1"/>
      <w:numFmt w:val="decimal"/>
      <w:suff w:val="tab"/>
      <w:lvlText w:val="%1."/>
      <w:rPr>
        <w:color w:val="3370ff"/>
      </w:rPr>
    </w:lvl>
  </w:abstractNum>
  <w:abstractNum w:abstractNumId="10861501">
    <w:lvl>
      <w:start w:val="2"/>
      <w:numFmt w:val="decimal"/>
      <w:suff w:val="tab"/>
      <w:lvlText w:val="%1."/>
      <w:rPr>
        <w:color w:val="3370ff"/>
      </w:rPr>
    </w:lvl>
  </w:abstractNum>
  <w:abstractNum w:abstractNumId="10861502">
    <w:lvl>
      <w:start w:val="3"/>
      <w:numFmt w:val="decimal"/>
      <w:suff w:val="tab"/>
      <w:lvlText w:val="%1."/>
      <w:rPr>
        <w:color w:val="3370ff"/>
      </w:rPr>
    </w:lvl>
  </w:abstractNum>
  <w:abstractNum w:abstractNumId="10861503">
    <w:lvl>
      <w:start w:val="1"/>
      <w:numFmt w:val="decimal"/>
      <w:suff w:val="tab"/>
      <w:lvlText w:val="%1."/>
      <w:rPr>
        <w:color w:val="3370ff"/>
      </w:rPr>
    </w:lvl>
  </w:abstractNum>
  <w:abstractNum w:abstractNumId="10861504">
    <w:lvl>
      <w:start w:val="2"/>
      <w:numFmt w:val="decimal"/>
      <w:suff w:val="tab"/>
      <w:lvlText w:val="%1."/>
      <w:rPr>
        <w:color w:val="3370ff"/>
      </w:rPr>
    </w:lvl>
  </w:abstractNum>
  <w:abstractNum w:abstractNumId="10861505">
    <w:lvl>
      <w:start w:val="3"/>
      <w:numFmt w:val="decimal"/>
      <w:suff w:val="tab"/>
      <w:lvlText w:val="%1."/>
      <w:rPr>
        <w:color w:val="3370ff"/>
      </w:rPr>
    </w:lvl>
  </w:abstractNum>
  <w:abstractNum w:abstractNumId="10861506">
    <w:lvl>
      <w:start w:val="1"/>
      <w:numFmt w:val="decimal"/>
      <w:suff w:val="tab"/>
      <w:lvlText w:val="%1."/>
      <w:rPr>
        <w:color w:val="3370ff"/>
      </w:rPr>
    </w:lvl>
  </w:abstractNum>
  <w:abstractNum w:abstractNumId="10861507">
    <w:lvl>
      <w:start w:val="2"/>
      <w:numFmt w:val="decimal"/>
      <w:suff w:val="tab"/>
      <w:lvlText w:val="%1."/>
      <w:rPr>
        <w:color w:val="3370ff"/>
      </w:rPr>
    </w:lvl>
  </w:abstractNum>
  <w:abstractNum w:abstractNumId="10861508">
    <w:lvl>
      <w:start w:val="3"/>
      <w:numFmt w:val="decimal"/>
      <w:suff w:val="tab"/>
      <w:lvlText w:val="%1."/>
      <w:rPr>
        <w:color w:val="3370ff"/>
      </w:rPr>
    </w:lvl>
  </w:abstractNum>
  <w:abstractNum w:abstractNumId="10861509">
    <w:lvl>
      <w:start w:val="4"/>
      <w:numFmt w:val="decimal"/>
      <w:suff w:val="tab"/>
      <w:lvlText w:val="%1."/>
      <w:rPr>
        <w:color w:val="3370ff"/>
      </w:rPr>
    </w:lvl>
  </w:abstractNum>
  <w:abstractNum w:abstractNumId="10861510">
    <w:lvl>
      <w:start w:val="5"/>
      <w:numFmt w:val="decimal"/>
      <w:suff w:val="tab"/>
      <w:lvlText w:val="%1."/>
      <w:rPr>
        <w:color w:val="3370ff"/>
      </w:rPr>
    </w:lvl>
  </w:abstractNum>
  <w:abstractNum w:abstractNumId="10861511">
    <w:lvl>
      <w:start w:val="6"/>
      <w:numFmt w:val="decimal"/>
      <w:suff w:val="tab"/>
      <w:lvlText w:val="%1."/>
      <w:rPr>
        <w:color w:val="3370ff"/>
      </w:rPr>
    </w:lvl>
  </w:abstractNum>
  <w:abstractNum w:abstractNumId="10861512">
    <w:lvl>
      <w:start w:val="7"/>
      <w:numFmt w:val="decimal"/>
      <w:suff w:val="tab"/>
      <w:lvlText w:val="%1."/>
      <w:rPr>
        <w:color w:val="3370ff"/>
      </w:rPr>
    </w:lvl>
  </w:abstractNum>
  <w:abstractNum w:abstractNumId="10861513">
    <w:lvl>
      <w:start w:val="8"/>
      <w:numFmt w:val="decimal"/>
      <w:suff w:val="tab"/>
      <w:lvlText w:val="%1."/>
      <w:rPr>
        <w:color w:val="3370ff"/>
      </w:rPr>
    </w:lvl>
  </w:abstractNum>
  <w:abstractNum w:abstractNumId="10861514">
    <w:lvl>
      <w:start w:val="9"/>
      <w:numFmt w:val="decimal"/>
      <w:suff w:val="tab"/>
      <w:lvlText w:val="%1."/>
      <w:rPr>
        <w:color w:val="3370ff"/>
      </w:rPr>
    </w:lvl>
  </w:abstractNum>
  <w:abstractNum w:abstractNumId="10861515">
    <w:lvl>
      <w:start w:val="10"/>
      <w:numFmt w:val="decimal"/>
      <w:suff w:val="tab"/>
      <w:lvlText w:val="%1."/>
      <w:rPr>
        <w:color w:val="3370ff"/>
      </w:rPr>
    </w:lvl>
  </w:abstractNum>
  <w:abstractNum w:abstractNumId="10861516">
    <w:lvl>
      <w:start w:val="11"/>
      <w:numFmt w:val="decimal"/>
      <w:suff w:val="tab"/>
      <w:lvlText w:val="%1."/>
      <w:rPr>
        <w:color w:val="3370ff"/>
      </w:rPr>
    </w:lvl>
  </w:abstractNum>
  <w:abstractNum w:abstractNumId="10861517">
    <w:lvl>
      <w:start w:val="12"/>
      <w:numFmt w:val="decimal"/>
      <w:suff w:val="tab"/>
      <w:lvlText w:val="%1."/>
      <w:rPr>
        <w:color w:val="3370ff"/>
      </w:rPr>
    </w:lvl>
  </w:abstractNum>
  <w:abstractNum w:abstractNumId="10861518">
    <w:lvl>
      <w:start w:val="13"/>
      <w:numFmt w:val="decimal"/>
      <w:suff w:val="tab"/>
      <w:lvlText w:val="%1."/>
      <w:rPr>
        <w:color w:val="3370ff"/>
      </w:rPr>
    </w:lvl>
  </w:abstractNum>
  <w:abstractNum w:abstractNumId="10861519">
    <w:lvl>
      <w:start w:val="1"/>
      <w:numFmt w:val="decimal"/>
      <w:suff w:val="tab"/>
      <w:lvlText w:val="%1."/>
      <w:rPr>
        <w:color w:val="3370ff"/>
      </w:rPr>
    </w:lvl>
  </w:abstractNum>
  <w:abstractNum w:abstractNumId="10861520">
    <w:lvl>
      <w:start w:val="2"/>
      <w:numFmt w:val="decimal"/>
      <w:suff w:val="tab"/>
      <w:lvlText w:val="%1."/>
      <w:rPr>
        <w:color w:val="3370ff"/>
      </w:rPr>
    </w:lvl>
  </w:abstractNum>
  <w:abstractNum w:abstractNumId="10861521">
    <w:lvl>
      <w:start w:val="3"/>
      <w:numFmt w:val="decimal"/>
      <w:suff w:val="tab"/>
      <w:lvlText w:val="%1."/>
      <w:rPr>
        <w:color w:val="3370ff"/>
      </w:rPr>
    </w:lvl>
  </w:abstractNum>
  <w:abstractNum w:abstractNumId="10861522">
    <w:lvl>
      <w:start w:val="4"/>
      <w:numFmt w:val="decimal"/>
      <w:suff w:val="tab"/>
      <w:lvlText w:val="%1."/>
      <w:rPr>
        <w:color w:val="3370ff"/>
      </w:rPr>
    </w:lvl>
  </w:abstractNum>
  <w:num w:numId="1">
    <w:abstractNumId w:val="10861477"/>
  </w:num>
  <w:num w:numId="2">
    <w:abstractNumId w:val="10861478"/>
  </w:num>
  <w:num w:numId="3">
    <w:abstractNumId w:val="10861479"/>
  </w:num>
  <w:num w:numId="4">
    <w:abstractNumId w:val="10861480"/>
  </w:num>
  <w:num w:numId="5">
    <w:abstractNumId w:val="10861481"/>
  </w:num>
  <w:num w:numId="6">
    <w:abstractNumId w:val="10861482"/>
  </w:num>
  <w:num w:numId="7">
    <w:abstractNumId w:val="10861483"/>
  </w:num>
  <w:num w:numId="8">
    <w:abstractNumId w:val="10861484"/>
  </w:num>
  <w:num w:numId="9">
    <w:abstractNumId w:val="10861485"/>
  </w:num>
  <w:num w:numId="10">
    <w:abstractNumId w:val="10861486"/>
  </w:num>
  <w:num w:numId="11">
    <w:abstractNumId w:val="10861487"/>
  </w:num>
  <w:num w:numId="12">
    <w:abstractNumId w:val="10861488"/>
  </w:num>
  <w:num w:numId="13">
    <w:abstractNumId w:val="10861489"/>
  </w:num>
  <w:num w:numId="14">
    <w:abstractNumId w:val="10861490"/>
  </w:num>
  <w:num w:numId="15">
    <w:abstractNumId w:val="10861491"/>
  </w:num>
  <w:num w:numId="16">
    <w:abstractNumId w:val="10861492"/>
  </w:num>
  <w:num w:numId="17">
    <w:abstractNumId w:val="10861493"/>
  </w:num>
  <w:num w:numId="18">
    <w:abstractNumId w:val="10861494"/>
  </w:num>
  <w:num w:numId="19">
    <w:abstractNumId w:val="10861495"/>
  </w:num>
  <w:num w:numId="20">
    <w:abstractNumId w:val="10861496"/>
  </w:num>
  <w:num w:numId="21">
    <w:abstractNumId w:val="10861497"/>
  </w:num>
  <w:num w:numId="22">
    <w:abstractNumId w:val="10861498"/>
  </w:num>
  <w:num w:numId="23">
    <w:abstractNumId w:val="10861499"/>
  </w:num>
  <w:num w:numId="24">
    <w:abstractNumId w:val="10861500"/>
  </w:num>
  <w:num w:numId="25">
    <w:abstractNumId w:val="10861501"/>
  </w:num>
  <w:num w:numId="26">
    <w:abstractNumId w:val="10861502"/>
  </w:num>
  <w:num w:numId="27">
    <w:abstractNumId w:val="10861503"/>
  </w:num>
  <w:num w:numId="28">
    <w:abstractNumId w:val="10861504"/>
  </w:num>
  <w:num w:numId="29">
    <w:abstractNumId w:val="10861505"/>
  </w:num>
  <w:num w:numId="30">
    <w:abstractNumId w:val="10861506"/>
  </w:num>
  <w:num w:numId="31">
    <w:abstractNumId w:val="10861507"/>
  </w:num>
  <w:num w:numId="32">
    <w:abstractNumId w:val="10861508"/>
  </w:num>
  <w:num w:numId="33">
    <w:abstractNumId w:val="10861509"/>
  </w:num>
  <w:num w:numId="34">
    <w:abstractNumId w:val="10861510"/>
  </w:num>
  <w:num w:numId="35">
    <w:abstractNumId w:val="10861511"/>
  </w:num>
  <w:num w:numId="36">
    <w:abstractNumId w:val="10861512"/>
  </w:num>
  <w:num w:numId="37">
    <w:abstractNumId w:val="10861513"/>
  </w:num>
  <w:num w:numId="38">
    <w:abstractNumId w:val="10861514"/>
  </w:num>
  <w:num w:numId="39">
    <w:abstractNumId w:val="10861515"/>
  </w:num>
  <w:num w:numId="40">
    <w:abstractNumId w:val="10861516"/>
  </w:num>
  <w:num w:numId="41">
    <w:abstractNumId w:val="10861517"/>
  </w:num>
  <w:num w:numId="42">
    <w:abstractNumId w:val="10861518"/>
  </w:num>
  <w:num w:numId="43">
    <w:abstractNumId w:val="10861519"/>
  </w:num>
  <w:num w:numId="44">
    <w:abstractNumId w:val="10861520"/>
  </w:num>
  <w:num w:numId="45">
    <w:abstractNumId w:val="10861521"/>
  </w:num>
  <w:num w:numId="46">
    <w:abstractNumId w:val="1086152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2026-03-28T13:39:01Z</dcterms:created>
  <dc:creator>Apache POI</dc:creator>
</cp:coreProperties>
</file>