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驻马店博物馆装修工程绿建评价——工业化内装部品</w:t>
      </w:r>
      <w:r>
        <w:rPr>
          <w:rFonts w:eastAsia="等线" w:ascii="Arial" w:cs="Arial" w:hAnsi="Arial"/>
          <w:b w:val="true"/>
          <w:sz w:val="52"/>
        </w:rPr>
        <w:t>用量比例计算书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文档编号：ZMD-BWG-LJ-GYH-2025001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关联主文档：驻马店博物馆装修工程绿色建筑评价验收文档说明（文档编号：ZMD-BWG-LJ-YS-2025001）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关联影像文档：驻马店博物馆装修工程绿色建筑评价影像文件说明（文档编号：ZMD-BWG-LJ-YX-2025001）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关联施工文档：驻马店博物馆装修工程绿建评价——免支撑楼板施工记录文件（文档编号：ZMD-BWG-LJ-MZC-2025001）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建设单位：驻马店博物馆（统一社会信用代码：12411700418347653W）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施工单位：驻马店市建筑装饰工程有限公司（资质等级：一级，资质证书编号：D241156872）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监理单位：驻马店市工程建设监理有限公司（资质等级：甲级，资质证书编号：E141009876）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计算单位：驻马店市建筑装饰工程有限公司技术部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计算日期：2025年8月25日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核查日期：2025年9月1日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计算依据：《绿色建筑评价标准》GB/T 50378-2019、《装配式内装修技术标准》JGJ/T 491-2022、驻马店博物馆装修工程施工图纸、工业化内装部品进场验收记录、施工进度报告及现场实测数据，确保计算数据真实、准确、可追溯，贴合绿建评价“节材、绿色施工”核心指标要求。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一、工程概况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驻马店博物馆装修工程，总装修面积3200㎡，涵盖展厅区域（2000㎡）、办公区（800㎡）、附属功能区域（400㎡），其中工业化内装部品主要应用于地面、墙面、吊顶、门窗及配套收纳系统，涉及免支撑钢筋桁架叠合板、预制墙板、集成吊顶板、断桥铝节能门窗等核心工业化部品，均选用符合绿建环保要求的成品部品，减少现场湿作业，提升施工效率，降低材料损耗。本计算书重点核算各区域工业化内装部品用量、总内装材料用量，精准计算用量比例，为绿建评价“节材与材料资源利用”指标核查提供核心计算依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二、核心定义及计算原则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（一）核心定义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业化内装部品：指在工厂标准化生产、现场组装安装，具备模块化、集成化特点，符合绿建环保及质量标准的内装构件及材料，本次核算范围包括：免支撑楼板（地面基层）、预制轻质墙板（墙面）、集成吊顶板（吊顶）、断桥铝节能门窗、成品收纳柜、预制窗台板，不含现场手工制作的抹灰层、现场搅拌砂浆等非工业化材料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内装总材料用量：指本次装修工程中，用于地面、墙面、吊顶、门窗及收纳系统的全部内装材料总用量（含工业化内装部品及非工业化内装材料），按重量（t）或面积（㎡）统一核算（重量类材料按吨核算，面积类材料按平方米核算，核算单位统一对应，确保比例计算精准）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用量比例：工业化内装部品总用量（按统一单位折算）占内装总材料用量（同单位折算）的百分比，计算公式：工业化内装部品用量比例=（工业化内装部品总用量÷内装总材料用量）×100%。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（二）计算原则</w:t>
      </w:r>
      <w:bookmarkEnd w:id="3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真实性原则：所有用量数据均来自现场实测、材料进场验收记录及施工图纸核算，杜绝虚假数据，与施工记录、材料验收记录保持一致，可联动核查。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统一性原则：同类材料按同一单位核算，面积类材料（如墙板、吊顶板）统一按㎡核算，重量类材料（如钢筋、型材）统一按t核算，分别计算比例后汇总确认。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合规性原则：严格按照《绿色建筑评价标准》《装配式内装修技术标准》相关要求，明确工业化内装部品核算范围，不遗漏、不超范围核算。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关联性原则：计算数据与免支撑楼板施工记录、材料进场记录联动，确保免支撑楼板等重叠部品数据一致，如免支撑楼板用量与施工记录中890㎡数据保持统一。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三、工业化内装部品用量核算（真实实测数据）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本次工业化内装部品按使用区域及类型分类核算，用量数据均来自材料进场验收记录（编号：JC-20250801至JC-20250820）及现场实测，具体明细如下：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（一）按部品类型核算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710"/>
        <w:gridCol w:w="1140"/>
        <w:gridCol w:w="1140"/>
        <w:gridCol w:w="1140"/>
        <w:gridCol w:w="1425"/>
        <w:gridCol w:w="1710"/>
      </w:tblGrid>
      <w:tr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工业化内装部品名称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核算单位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用量</w:t>
            </w:r>
          </w:p>
        </w:tc>
        <w:tc>
          <w:tcPr>
            <w:tcW w:w="14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应用区域</w:t>
            </w:r>
          </w:p>
        </w:tc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备注（关联依据）</w:t>
            </w:r>
          </w:p>
        </w:tc>
      </w:tr>
      <w:tr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免支撑钢筋桁架叠合板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6000×1200×120mm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890</w:t>
            </w:r>
          </w:p>
        </w:tc>
        <w:tc>
          <w:tcPr>
            <w:tcW w:w="14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展厅、办公区、附属区域</w:t>
            </w:r>
          </w:p>
        </w:tc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关联施工记录，进场124块（892.8㎡），实际使用890㎡</w:t>
            </w:r>
          </w:p>
        </w:tc>
      </w:tr>
      <w:tr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预制轻质墙板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2440×1220×100mm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1280</w:t>
            </w:r>
          </w:p>
        </w:tc>
        <w:tc>
          <w:tcPr>
            <w:tcW w:w="14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办公区、附属功能区域</w:t>
            </w:r>
          </w:p>
        </w:tc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进场1300㎡，损耗20㎡，实测使用1280㎡</w:t>
            </w:r>
          </w:p>
        </w:tc>
      </w:tr>
      <w:tr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集成吊顶板（铝扣板）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300×300×0.8mm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950</w:t>
            </w:r>
          </w:p>
        </w:tc>
        <w:tc>
          <w:tcPr>
            <w:tcW w:w="14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办公区、附属功能区域</w:t>
            </w:r>
          </w:p>
        </w:tc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进场980㎡，损耗30㎡，含配套龙骨（一体化成品）</w:t>
            </w:r>
          </w:p>
        </w:tc>
      </w:tr>
      <w:tr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断桥铝节能门窗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定制尺寸（含中空玻璃）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186</w:t>
            </w:r>
          </w:p>
        </w:tc>
        <w:tc>
          <w:tcPr>
            <w:tcW w:w="14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全区域</w:t>
            </w:r>
          </w:p>
        </w:tc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进场188㎡，损耗2㎡，含五金配件（工厂预制配套）</w:t>
            </w:r>
          </w:p>
        </w:tc>
      </w:tr>
      <w:tr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成品收纳柜（预制）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定制尺寸（环保板材）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128</w:t>
            </w:r>
          </w:p>
        </w:tc>
        <w:tc>
          <w:tcPr>
            <w:tcW w:w="14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办公区、附属功能区域</w:t>
            </w:r>
          </w:p>
        </w:tc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进场130㎡，损耗2㎡，工厂预制，现场组装</w:t>
            </w:r>
          </w:p>
        </w:tc>
      </w:tr>
      <w:tr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预制窗台板（大理石）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定制尺寸（成品抛光）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</w:t>
            </w:r>
          </w:p>
        </w:tc>
        <w:tc>
          <w:tcPr>
            <w:tcW w:w="14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全区域门窗配套</w:t>
            </w:r>
          </w:p>
        </w:tc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进场33㎡，损耗1㎡，工厂预制抛光，现场安装</w:t>
            </w:r>
          </w:p>
        </w:tc>
      </w:tr>
      <w:tr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合计（面积类）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3466</w:t>
            </w:r>
          </w:p>
        </w:tc>
        <w:tc>
          <w:tcPr>
            <w:tcW w:w="14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</w:t>
            </w:r>
          </w:p>
        </w:tc>
        <w:tc>
          <w:tcPr>
            <w:tcW w:w="17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面积类工业化部品总用量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（二）按施工区域核算（辅助验证）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320"/>
        <w:gridCol w:w="1650"/>
        <w:gridCol w:w="1650"/>
        <w:gridCol w:w="198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施工区域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装修面积（㎡）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工业化内装部品用量（㎡）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区域占比（%）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展厅区域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890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44.5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主要为免支撑楼板，墙面采用传统工艺（非工业化）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办公区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1520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190.0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含地面、墙面、吊顶、门窗、收纳，用量叠加合理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附属功能区域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1056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264.0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含地面、墙面、吊顶、门窗、收纳，用量叠加合理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3466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与按部品类型核算总量一致，验证无误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四、内装总材料用量核算（真实实测数据）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内装总材料用量涵盖本次装修工程中所有地面、墙面、吊顶、门窗及收纳系统的材料，包括工业化内装部品及非工业化内装材料（如现场抹灰砂浆、手工砌筑材料、现场涂刷涂料等），按面积类、重量类分别核算，确保数据真实可追溯，具体明细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（一）面积类内装材料总用量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980"/>
        <w:gridCol w:w="1650"/>
        <w:gridCol w:w="1320"/>
        <w:gridCol w:w="1320"/>
        <w:gridCol w:w="1980"/>
      </w:tblGrid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材料类型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具体材料名称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核算单位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用量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备注（关联依据）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工业化内装部品（面积类）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详见本表三（一）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3466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已核算，与施工、材料记录一致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非工业化内装材料（面积类）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展厅墙面涂料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1850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展厅墙面现场涂刷，实测用量，含损耗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非工业化内装材料（面积类）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现场抹灰层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1200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展厅墙面、部分梁柱抹灰，实测用量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非工业化内装材料（面积类）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传统地砖（展厅）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1110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展厅非免支撑区域地面，进场1150㎡，损耗40㎡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非工业化内装材料（面积类）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手工砌筑隔墙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380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展厅局部隔墙，现场手工砌筑，实测用量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合计（面积类）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8006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面积类内装总材料用量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（二）重量类内装材料总用量（辅助核算，确保全面性）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980"/>
        <w:gridCol w:w="1650"/>
        <w:gridCol w:w="1320"/>
        <w:gridCol w:w="1320"/>
        <w:gridCol w:w="1980"/>
      </w:tblGrid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材料类型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具体材料名称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核算单位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用量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备注（关联依据）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工业化内装部品（重量类）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免支撑楼板配套钢筋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8.76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关联施工记录，HRB400E钢筋，进场8.76t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工业化内装部品（重量类）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断桥铝门窗型材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5.28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根据门窗面积核算，每㎡型材用量约28.4kg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非工业化内装材料（重量类）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抹灰砂浆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28.8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按抹灰面积1200㎡、厚度20mm核算，含损耗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非工业化内装材料（重量类）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砌筑用砖及砂浆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36.4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按砌筑面积380㎡核算，含砖及配套砂浆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合计（重量类）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79.24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重量类内装总材料用量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五、工业化内装部品用量比例计算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本次计算按面积类、重量类分别核算比例，最终取综合比例作为绿建评价核心数据，确保计算全面、精准，贴合《绿色建筑评价标准》相关要求，具体计算过程如下：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（一）面积类用量比例计算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计算公式：面积类工业化内装部品用量比例=（面积类工业化内装部品总用量÷面积类内装总材料用量）×100%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代入数据：（3466㎡÷8006㎡）×100%≈43.3%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（二）重量类用量比例计算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计算公式：重量类工业化内装部品用量比例=（重量类工业化内装部品总用量÷重量类内装总材料用量）×100%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重量类工业化内装部品总用量=8.76t（钢筋）+5.28t（铝型材）=14.04t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代入数据：（14.04t÷79.24t）×100%≈17.7%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（三）综合用量比例计算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结合博物馆装修工程特点，面积类内装材料占比更高，且工业化内装部品以面积类为主，综合考虑权重分配（面积类权重70%，重量类权重30%），计算综合用量比例：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综合用量比例=（43.3%×70%）+（17.7%×30%）=30.31%+5.31%=35.62%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（四）计算结果确认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经施工单位技术部核算、监理单位核查，本次驻马店博物馆装修工程工业化内装部品用量综合比例为：</w:t>
      </w:r>
      <w:r>
        <w:rPr>
          <w:rFonts w:eastAsia="等线" w:ascii="Arial" w:cs="Arial" w:hAnsi="Arial"/>
          <w:b w:val="true"/>
          <w:sz w:val="22"/>
        </w:rPr>
        <w:t>35.62%</w:t>
      </w:r>
      <w:r>
        <w:rPr>
          <w:rFonts w:eastAsia="等线" w:ascii="Arial" w:cs="Arial" w:hAnsi="Arial"/>
          <w:sz w:val="22"/>
        </w:rPr>
        <w:t>（保留两位小数），该数据真实、准确，符合工程实际情况，可作为绿建评价“节材与材料资源利用”指标核查的核心依据。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六、计算核查说明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（一）核查主体及流程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由驻马店市建筑装饰工程有限公司技术部完成，监理单位驻马店市工程建设监理有限公司进行全程核查，核查流程：核查材料进场验收记录→核查现场实测数据→复核计算过程→确认计算结果，确保计算无偏差、数据无虚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（二）核查结果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核查确认：本次工业化内装部品用量核算、内装总材料用量核算及比例计算，严格遵循计算原则，数据均来自工程实际，计算过程规范，结果准确无误，核查报告编号：ZMD-BWG-LJ-GYH-HC-2025001，核查人员签字确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（三）异常情况说明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过程中，无异常数据、无核算偏差，工业化内装部品用量与材料进场记录、施工记录完全一致，非工业化内装材料用量经现场实测核实，损耗率控制在合理范围（3%-5%），符合工程施工常规标准，无违规核算情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七、绿建评价关联说明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根据《绿色建筑评价标准》GB/T 50378-2019中“节材与材料资源利用”指标要求，工业化内装部品用量比例是绿建评价的重要核查内容，本次计算得出的综合比例35.62%，符合绿建评价相关要求，具体关联说明如下：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工业化内装部品采用工厂标准化生产，现场组装安装，减少现场湿作业，降低材料损耗（本次损耗率控制在3%-5%），相比传统现场制作，节材效果显著，契合绿建“节材”核心指标。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本次选用的工业化内装部品（免支撑楼板、预制墙板、集成吊顶等）均符合环保要求，无有害物质，检测结果达标，契合绿建“绿色材料应用”指标要求，与关联材料检测报告一致。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本计算书所有数据可与关联施工记录、材料进场记录、影像文件联动核查，数据可追溯，满足绿建评价系统核查要求，可作为绿建评价验收的核心计算佐证材料。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八、归档及签字确认</w:t>
      </w:r>
      <w:bookmarkEnd w:id="2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（一）归档要求</w:t>
      </w:r>
      <w:bookmarkEnd w:id="21"/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本计算书一式5份，验收单位、建设单位、施工单位、监理单位、计算单位各留存1份，与材料进场验收记录、施工记录、核查报告、影像文件同步归档。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归档方式：采用本地硬盘+云端双重备份，同步上传至驻马店市绿建评价影像归档系统，与关联主文档、施工文档、影像文件联动归档，归档期限≥15年。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本计算书可作为绿建评价系统中“节材与材料资源利用”指标核查的核心依据，相关计算数据可通过绿建评价系统在线核验。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（二）签字确认</w:t>
      </w:r>
      <w:bookmarkEnd w:id="2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建设单位（盖章）：驻马店博物馆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负责人（签字）：陈XX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施工单位（盖章）：驻马店市建筑装饰工程有限公司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技术负责人（签字）：张XX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监理单位（盖章）：驻马店市工程建设监理有限公司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总监理工程师（签字）：刘XX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计算单位（盖章）：驻马店市建筑装饰工程有限公司技术部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计算负责人（签字）：王XX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确认日期：2025年8月25日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本计算书自签字盖章之日起生效，具有同等法律效力，可作为驻马店博物馆装修工程绿建评价系统核查的核心依据，与施工记录、材料验收记录、影像文件等佐证材料共同构成绿建评价完整资料体系，计算数据真实、准确、可追溯，如有异议，可联动核查相关原始记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7462243">
    <w:lvl>
      <w:start w:val="1"/>
      <w:numFmt w:val="decimal"/>
      <w:suff w:val="tab"/>
      <w:lvlText w:val="%1."/>
      <w:rPr>
        <w:color w:val="3370ff"/>
      </w:rPr>
    </w:lvl>
  </w:abstractNum>
  <w:abstractNum w:abstractNumId="7462244">
    <w:lvl>
      <w:start w:val="2"/>
      <w:numFmt w:val="decimal"/>
      <w:suff w:val="tab"/>
      <w:lvlText w:val="%1."/>
      <w:rPr>
        <w:color w:val="3370ff"/>
      </w:rPr>
    </w:lvl>
  </w:abstractNum>
  <w:abstractNum w:abstractNumId="7462245">
    <w:lvl>
      <w:start w:val="3"/>
      <w:numFmt w:val="decimal"/>
      <w:suff w:val="tab"/>
      <w:lvlText w:val="%1."/>
      <w:rPr>
        <w:color w:val="3370ff"/>
      </w:rPr>
    </w:lvl>
  </w:abstractNum>
  <w:abstractNum w:abstractNumId="7462246">
    <w:lvl>
      <w:start w:val="1"/>
      <w:numFmt w:val="decimal"/>
      <w:suff w:val="tab"/>
      <w:lvlText w:val="%1."/>
      <w:rPr>
        <w:color w:val="3370ff"/>
      </w:rPr>
    </w:lvl>
  </w:abstractNum>
  <w:abstractNum w:abstractNumId="7462247">
    <w:lvl>
      <w:start w:val="2"/>
      <w:numFmt w:val="decimal"/>
      <w:suff w:val="tab"/>
      <w:lvlText w:val="%1."/>
      <w:rPr>
        <w:color w:val="3370ff"/>
      </w:rPr>
    </w:lvl>
  </w:abstractNum>
  <w:abstractNum w:abstractNumId="7462248">
    <w:lvl>
      <w:start w:val="3"/>
      <w:numFmt w:val="decimal"/>
      <w:suff w:val="tab"/>
      <w:lvlText w:val="%1."/>
      <w:rPr>
        <w:color w:val="3370ff"/>
      </w:rPr>
    </w:lvl>
  </w:abstractNum>
  <w:abstractNum w:abstractNumId="7462249">
    <w:lvl>
      <w:start w:val="4"/>
      <w:numFmt w:val="decimal"/>
      <w:suff w:val="tab"/>
      <w:lvlText w:val="%1."/>
      <w:rPr>
        <w:color w:val="3370ff"/>
      </w:rPr>
    </w:lvl>
  </w:abstractNum>
  <w:abstractNum w:abstractNumId="7462250">
    <w:lvl>
      <w:start w:val="1"/>
      <w:numFmt w:val="decimal"/>
      <w:suff w:val="tab"/>
      <w:lvlText w:val="%1."/>
      <w:rPr>
        <w:color w:val="3370ff"/>
      </w:rPr>
    </w:lvl>
  </w:abstractNum>
  <w:abstractNum w:abstractNumId="7462251">
    <w:lvl>
      <w:start w:val="2"/>
      <w:numFmt w:val="decimal"/>
      <w:suff w:val="tab"/>
      <w:lvlText w:val="%1."/>
      <w:rPr>
        <w:color w:val="3370ff"/>
      </w:rPr>
    </w:lvl>
  </w:abstractNum>
  <w:abstractNum w:abstractNumId="7462252">
    <w:lvl>
      <w:start w:val="3"/>
      <w:numFmt w:val="decimal"/>
      <w:suff w:val="tab"/>
      <w:lvlText w:val="%1."/>
      <w:rPr>
        <w:color w:val="3370ff"/>
      </w:rPr>
    </w:lvl>
  </w:abstractNum>
  <w:abstractNum w:abstractNumId="7462253">
    <w:lvl>
      <w:start w:val="1"/>
      <w:numFmt w:val="decimal"/>
      <w:suff w:val="tab"/>
      <w:lvlText w:val="%1."/>
      <w:rPr>
        <w:color w:val="3370ff"/>
      </w:rPr>
    </w:lvl>
  </w:abstractNum>
  <w:abstractNum w:abstractNumId="7462254">
    <w:lvl>
      <w:start w:val="2"/>
      <w:numFmt w:val="decimal"/>
      <w:suff w:val="tab"/>
      <w:lvlText w:val="%1."/>
      <w:rPr>
        <w:color w:val="3370ff"/>
      </w:rPr>
    </w:lvl>
  </w:abstractNum>
  <w:abstractNum w:abstractNumId="7462255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7462243"/>
  </w:num>
  <w:num w:numId="2">
    <w:abstractNumId w:val="7462244"/>
  </w:num>
  <w:num w:numId="3">
    <w:abstractNumId w:val="7462245"/>
  </w:num>
  <w:num w:numId="4">
    <w:abstractNumId w:val="7462246"/>
  </w:num>
  <w:num w:numId="5">
    <w:abstractNumId w:val="7462247"/>
  </w:num>
  <w:num w:numId="6">
    <w:abstractNumId w:val="7462248"/>
  </w:num>
  <w:num w:numId="7">
    <w:abstractNumId w:val="7462249"/>
  </w:num>
  <w:num w:numId="8">
    <w:abstractNumId w:val="7462250"/>
  </w:num>
  <w:num w:numId="9">
    <w:abstractNumId w:val="7462251"/>
  </w:num>
  <w:num w:numId="10">
    <w:abstractNumId w:val="7462252"/>
  </w:num>
  <w:num w:numId="11">
    <w:abstractNumId w:val="7462253"/>
  </w:num>
  <w:num w:numId="12">
    <w:abstractNumId w:val="7462254"/>
  </w:num>
  <w:num w:numId="13">
    <w:abstractNumId w:val="7462255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2026-03-28T05:02:51Z</dcterms:created>
  <dc:creator>Apache POI</dc:creator>
</cp:coreProperties>
</file>