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after="480" w:line="288" w:lineRule="auto"/>
        <w:ind w:left="0"/>
      </w:pPr>
      <w:r>
        <w:rPr>
          <w:rFonts w:ascii="Arial" w:hAnsi="Arial" w:eastAsia="等线" w:cs="Arial"/>
          <w:b/>
          <w:sz w:val="52"/>
        </w:rPr>
        <w:t>幕墙热工性能计算书</w:t>
      </w:r>
    </w:p>
    <w:p>
      <w:pPr>
        <w:spacing w:before="120" w:after="120" w:line="288" w:lineRule="auto"/>
        <w:ind w:left="0"/>
        <w:jc w:val="left"/>
      </w:pPr>
      <w:r>
        <w:rPr>
          <w:rFonts w:ascii="Arial" w:hAnsi="Arial" w:eastAsia="等线" w:cs="Arial"/>
          <w:b/>
          <w:sz w:val="22"/>
        </w:rPr>
        <w:t>——绿色建筑评价专项文件</w:t>
      </w:r>
    </w:p>
    <w:p>
      <w:pPr>
        <w:spacing w:before="320" w:after="120" w:line="288" w:lineRule="auto"/>
        <w:ind w:left="0"/>
        <w:jc w:val="left"/>
        <w:outlineLvl w:val="1"/>
      </w:pPr>
      <w:bookmarkStart w:id="0" w:name="heading_0"/>
      <w:r>
        <w:rPr>
          <w:rFonts w:ascii="Arial" w:hAnsi="Arial" w:eastAsia="等线" w:cs="Arial"/>
          <w:b/>
          <w:sz w:val="32"/>
        </w:rPr>
        <w:t>一、计算书基本信息</w:t>
      </w:r>
      <w:bookmarkEnd w:id="0"/>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3000"/>
        <w:gridCol w:w="3000"/>
      </w:tblGrid>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b/>
                <w:sz w:val="22"/>
              </w:rPr>
              <w:t>项目名称</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辰光溯昔—基于豫南地区生态的博物馆绿色建筑设计</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b/>
                <w:sz w:val="22"/>
              </w:rPr>
              <w:t>建设地点</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河南省驻马店市驿城区练江大道与白桥路交叉口西南角</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b/>
                <w:sz w:val="22"/>
              </w:rPr>
              <w:t>气候区划</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寒冷B区（室外采暖计算温度-7℃，室外空调计算温度35.2℃）</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b/>
                <w:sz w:val="22"/>
              </w:rPr>
              <w:t>幕墙类型</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断热铝合金框Low-E中空玻璃幕墙（明框式）</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b/>
                <w:sz w:val="22"/>
              </w:rPr>
              <w:t>幕墙总面积</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813.1㎡</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b/>
                <w:sz w:val="22"/>
              </w:rPr>
              <w:t>计算依据</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《民用建筑热工设计规范》GB 50176-2016、《建筑幕墙》GB/T 21086-2007、《绿色建筑评价标准》GB/T 50378-2019（2024版）、《公共建筑节能设计标准》GB 50189-2015</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b/>
                <w:sz w:val="22"/>
              </w:rPr>
              <w:t>计算软件</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节能设计BECS2025、幕墙热工计算专用模块</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b/>
                <w:sz w:val="22"/>
              </w:rPr>
              <w:t>计算日期</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2026年03月23日</w:t>
            </w:r>
          </w:p>
        </w:tc>
      </w:tr>
    </w:tbl>
    <w:p>
      <w:pPr>
        <w:spacing w:before="320" w:after="120" w:line="288" w:lineRule="auto"/>
        <w:ind w:left="0"/>
        <w:jc w:val="left"/>
        <w:outlineLvl w:val="1"/>
      </w:pPr>
      <w:bookmarkStart w:id="1" w:name="heading_1"/>
      <w:r>
        <w:rPr>
          <w:rFonts w:ascii="Arial" w:hAnsi="Arial" w:eastAsia="等线" w:cs="Arial"/>
          <w:b/>
          <w:sz w:val="32"/>
        </w:rPr>
        <w:t>二、幕墙构造与材料参数</w:t>
      </w:r>
      <w:bookmarkEnd w:id="1"/>
    </w:p>
    <w:p>
      <w:pPr>
        <w:spacing w:before="300" w:after="120" w:line="288" w:lineRule="auto"/>
        <w:ind w:left="0"/>
        <w:jc w:val="left"/>
        <w:outlineLvl w:val="2"/>
      </w:pPr>
      <w:bookmarkStart w:id="2" w:name="heading_2"/>
      <w:r>
        <w:rPr>
          <w:rFonts w:ascii="Arial" w:hAnsi="Arial" w:eastAsia="等线" w:cs="Arial"/>
          <w:b/>
          <w:sz w:val="30"/>
        </w:rPr>
        <w:t>2.1幕墙整体构造（由外至内）</w:t>
      </w:r>
      <w:bookmarkEnd w:id="2"/>
    </w:p>
    <w:p>
      <w:pPr>
        <w:spacing w:before="120" w:after="120" w:line="288" w:lineRule="auto"/>
        <w:ind w:left="0"/>
        <w:jc w:val="left"/>
      </w:pPr>
      <w:r>
        <w:rPr>
          <w:rFonts w:ascii="Arial" w:hAnsi="Arial" w:eastAsia="等线" w:cs="Arial"/>
          <w:sz w:val="22"/>
        </w:rPr>
        <w:t>本项目博物馆幕墙采用</w:t>
      </w:r>
      <w:r>
        <w:rPr>
          <w:rFonts w:ascii="Arial" w:hAnsi="Arial" w:eastAsia="等线" w:cs="Arial"/>
          <w:b/>
          <w:sz w:val="22"/>
        </w:rPr>
        <w:t>明框断热铝合金中空玻璃幕墙</w:t>
      </w:r>
      <w:r>
        <w:rPr>
          <w:rFonts w:ascii="Arial" w:hAnsi="Arial" w:eastAsia="等线" w:cs="Arial"/>
          <w:sz w:val="22"/>
        </w:rPr>
        <w:t>构造，兼顾采光、观景、保温隔热与结构安全，适配博物馆公共空间采光需求，构造层次如下：</w:t>
      </w:r>
    </w:p>
    <w:p>
      <w:pPr>
        <w:numPr>
          <w:ilvl w:val="0"/>
          <w:numId w:val="1"/>
        </w:numPr>
        <w:spacing w:before="120" w:after="120" w:line="288" w:lineRule="auto"/>
        <w:ind w:left="0"/>
        <w:jc w:val="left"/>
      </w:pPr>
      <w:r>
        <w:rPr>
          <w:rFonts w:ascii="Arial" w:hAnsi="Arial" w:eastAsia="等线" w:cs="Arial"/>
          <w:sz w:val="22"/>
        </w:rPr>
        <w:t>外层玻璃：5mm厚低辐射（Low-E）镀膜玻璃</w:t>
      </w:r>
    </w:p>
    <w:p>
      <w:pPr>
        <w:numPr>
          <w:ilvl w:val="0"/>
          <w:numId w:val="2"/>
        </w:numPr>
        <w:spacing w:before="120" w:after="120" w:line="288" w:lineRule="auto"/>
        <w:ind w:left="0"/>
        <w:jc w:val="left"/>
      </w:pPr>
      <w:r>
        <w:rPr>
          <w:rFonts w:ascii="Arial" w:hAnsi="Arial" w:eastAsia="等线" w:cs="Arial"/>
          <w:sz w:val="22"/>
        </w:rPr>
        <w:t>空气层：12mm厚惰性气体填充层（氩气）</w:t>
      </w:r>
    </w:p>
    <w:p>
      <w:pPr>
        <w:numPr>
          <w:ilvl w:val="0"/>
          <w:numId w:val="3"/>
        </w:numPr>
        <w:spacing w:before="120" w:after="120" w:line="288" w:lineRule="auto"/>
        <w:ind w:left="0"/>
        <w:jc w:val="left"/>
      </w:pPr>
      <w:r>
        <w:rPr>
          <w:rFonts w:ascii="Arial" w:hAnsi="Arial" w:eastAsia="等线" w:cs="Arial"/>
          <w:sz w:val="22"/>
        </w:rPr>
        <w:t>内层玻璃：5mm厚透明浮法玻璃</w:t>
      </w:r>
    </w:p>
    <w:p>
      <w:pPr>
        <w:numPr>
          <w:ilvl w:val="0"/>
          <w:numId w:val="4"/>
        </w:numPr>
        <w:spacing w:before="120" w:after="120" w:line="288" w:lineRule="auto"/>
        <w:ind w:left="0"/>
        <w:jc w:val="left"/>
      </w:pPr>
      <w:r>
        <w:rPr>
          <w:rFonts w:ascii="Arial" w:hAnsi="Arial" w:eastAsia="等线" w:cs="Arial"/>
          <w:sz w:val="22"/>
        </w:rPr>
        <w:t>幕墙型材：60系列断热铝合金型材（PA66尼龙隔热条，宽度24mm）</w:t>
      </w:r>
    </w:p>
    <w:p>
      <w:pPr>
        <w:numPr>
          <w:ilvl w:val="0"/>
          <w:numId w:val="5"/>
        </w:numPr>
        <w:spacing w:before="120" w:after="120" w:line="288" w:lineRule="auto"/>
        <w:ind w:left="0"/>
        <w:jc w:val="left"/>
      </w:pPr>
      <w:r>
        <w:rPr>
          <w:rFonts w:ascii="Arial" w:hAnsi="Arial" w:eastAsia="等线" w:cs="Arial"/>
          <w:sz w:val="22"/>
        </w:rPr>
        <w:t>密封材料：三元乙丙橡胶密封条、中性硅酮耐候密封胶</w:t>
      </w:r>
    </w:p>
    <w:p>
      <w:pPr>
        <w:spacing w:before="300" w:after="120" w:line="288" w:lineRule="auto"/>
        <w:ind w:left="0"/>
        <w:jc w:val="left"/>
        <w:outlineLvl w:val="2"/>
      </w:pPr>
      <w:bookmarkStart w:id="3" w:name="heading_3"/>
      <w:r>
        <w:rPr>
          <w:rFonts w:ascii="Arial" w:hAnsi="Arial" w:eastAsia="等线" w:cs="Arial"/>
          <w:b/>
          <w:sz w:val="30"/>
        </w:rPr>
        <w:t>2.2材料热工性能参数</w:t>
      </w:r>
      <w:bookmarkEnd w:id="3"/>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650"/>
        <w:gridCol w:w="1650"/>
        <w:gridCol w:w="1650"/>
        <w:gridCol w:w="1650"/>
        <w:gridCol w:w="1650"/>
      </w:tblGrid>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材料名称</w:t>
            </w:r>
          </w:p>
        </w:tc>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导热系数</w:t>
            </w:r>
            <m:oMath>
              <m:r>
                <w:rPr>
                  <w:rFonts w:ascii="Cambria Math" w:hAnsi="Cambria Math"/>
                </w:rPr>
                <m:t>λ</m:t>
              </m:r>
            </m:oMath>
            <w:r>
              <w:rPr>
                <w:rFonts w:ascii="Arial" w:hAnsi="Arial" w:eastAsia="等线" w:cs="Arial"/>
                <w:sz w:val="22"/>
              </w:rPr>
              <w:t>[W/(m·K)]</w:t>
            </w:r>
          </w:p>
        </w:tc>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太阳得热系数（SHGC）</w:t>
            </w:r>
          </w:p>
        </w:tc>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可见光透射比</w:t>
            </w:r>
          </w:p>
        </w:tc>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备注</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Low-E镀膜玻璃</w:t>
            </w:r>
          </w:p>
        </w:tc>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0.85</w:t>
            </w:r>
          </w:p>
        </w:tc>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0.52</w:t>
            </w:r>
          </w:p>
        </w:tc>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0.72</w:t>
            </w:r>
          </w:p>
        </w:tc>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离线Low-E，高透型</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透明浮法玻璃</w:t>
            </w:r>
          </w:p>
        </w:tc>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0.85</w:t>
            </w:r>
          </w:p>
        </w:tc>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0.87</w:t>
            </w:r>
          </w:p>
        </w:tc>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0.89</w:t>
            </w:r>
          </w:p>
        </w:tc>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普通白玻</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氩气空气层</w:t>
            </w:r>
          </w:p>
        </w:tc>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0.018</w:t>
            </w:r>
          </w:p>
        </w:tc>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w:t>
            </w:r>
          </w:p>
        </w:tc>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w:t>
            </w:r>
          </w:p>
        </w:tc>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12mm厚度</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断热铝合金型材</w:t>
            </w:r>
          </w:p>
        </w:tc>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1.80</w:t>
            </w:r>
          </w:p>
        </w:tc>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w:t>
            </w:r>
          </w:p>
        </w:tc>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w:t>
            </w:r>
          </w:p>
        </w:tc>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带隔热条，线传热系数修正</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密封胶条</w:t>
            </w:r>
          </w:p>
        </w:tc>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0.25</w:t>
            </w:r>
          </w:p>
        </w:tc>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w:t>
            </w:r>
          </w:p>
        </w:tc>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w:t>
            </w:r>
          </w:p>
        </w:tc>
        <w:tc>
          <w:tcPr>
            <w:tcW w:w="16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三元乙丙材质</w:t>
            </w:r>
          </w:p>
        </w:tc>
      </w:tr>
    </w:tbl>
    <w:p>
      <w:pPr>
        <w:spacing w:before="320" w:after="120" w:line="288" w:lineRule="auto"/>
        <w:ind w:left="0"/>
        <w:jc w:val="left"/>
        <w:outlineLvl w:val="1"/>
      </w:pPr>
      <w:bookmarkStart w:id="4" w:name="heading_4"/>
      <w:r>
        <w:rPr>
          <w:rFonts w:ascii="Arial" w:hAnsi="Arial" w:eastAsia="等线" w:cs="Arial"/>
          <w:b/>
          <w:sz w:val="32"/>
        </w:rPr>
        <w:t>三、幕墙热工性能计算</w:t>
      </w:r>
      <w:bookmarkEnd w:id="4"/>
    </w:p>
    <w:p>
      <w:pPr>
        <w:spacing w:before="300" w:after="120" w:line="288" w:lineRule="auto"/>
        <w:ind w:left="0"/>
        <w:jc w:val="left"/>
        <w:outlineLvl w:val="2"/>
      </w:pPr>
      <w:bookmarkStart w:id="5" w:name="heading_5"/>
      <w:r>
        <w:rPr>
          <w:rFonts w:ascii="Arial" w:hAnsi="Arial" w:eastAsia="等线" w:cs="Arial"/>
          <w:b/>
          <w:sz w:val="30"/>
        </w:rPr>
        <w:t>3.1幕墙传热系数K值计算</w:t>
      </w:r>
      <w:bookmarkEnd w:id="5"/>
    </w:p>
    <w:p>
      <w:pPr>
        <w:spacing w:before="120" w:after="120" w:line="288" w:lineRule="auto"/>
        <w:ind w:left="0"/>
        <w:jc w:val="left"/>
      </w:pPr>
      <w:r>
        <w:rPr>
          <w:rFonts w:ascii="Arial" w:hAnsi="Arial" w:eastAsia="等线" w:cs="Arial"/>
          <w:sz w:val="22"/>
        </w:rPr>
        <w:t>传热系数是衡量幕墙保温隔热性能的核心指标，寒冷B区公共建筑幕墙传热系数限值为</w:t>
      </w:r>
      <w:r>
        <w:rPr>
          <w:rFonts w:ascii="Arial" w:hAnsi="Arial" w:eastAsia="等线" w:cs="Arial"/>
          <w:b/>
          <w:sz w:val="22"/>
        </w:rPr>
        <w:t>K≤2.2 W/(㎡·K)</w:t>
      </w:r>
      <w:r>
        <w:rPr>
          <w:rFonts w:ascii="Arial" w:hAnsi="Arial" w:eastAsia="等线" w:cs="Arial"/>
          <w:sz w:val="22"/>
        </w:rPr>
        <w:t>，本次计算采用稳态传热法，计入玻璃面板、型材、隔热条的综合传热影响。</w:t>
      </w:r>
    </w:p>
    <w:p>
      <w:pPr>
        <w:spacing w:before="260" w:after="120" w:line="288" w:lineRule="auto"/>
        <w:ind w:left="0"/>
        <w:jc w:val="left"/>
        <w:outlineLvl w:val="3"/>
      </w:pPr>
      <w:bookmarkStart w:id="6" w:name="heading_6"/>
      <w:r>
        <w:rPr>
          <w:rFonts w:ascii="Arial" w:hAnsi="Arial" w:eastAsia="等线" w:cs="Arial"/>
          <w:b/>
          <w:sz w:val="28"/>
        </w:rPr>
        <w:t>3.1.1玻璃面板传热系数计算</w:t>
      </w:r>
      <w:bookmarkEnd w:id="6"/>
    </w:p>
    <w:p>
      <w:pPr>
        <w:spacing w:before="120" w:after="120" w:line="288" w:lineRule="auto"/>
        <w:ind w:left="0"/>
        <w:jc w:val="left"/>
      </w:pPr>
      <w:r>
        <w:rPr>
          <w:rFonts w:ascii="Arial" w:hAnsi="Arial" w:eastAsia="等线" w:cs="Arial"/>
          <w:sz w:val="22"/>
        </w:rPr>
        <w:t>中空玻璃面板热阻计算公式：</w:t>
      </w:r>
      <m:oMath>
        <m:sSub>
          <m:sSubPr/>
          <m:e>
            <m:r>
              <w:rPr>
                <w:rFonts w:ascii="Cambria Math" w:hAnsi="Cambria Math"/>
              </w:rPr>
              <m:t>R</m:t>
            </m:r>
          </m:e>
          <m:sub>
            <m:r>
              <w:rPr>
                <w:rFonts w:ascii="Cambria Math" w:hAnsi="Cambria Math"/>
              </w:rPr>
              <m:t>g</m:t>
            </m:r>
          </m:sub>
        </m:sSub>
        <m:r>
          <w:rPr>
            <w:rFonts w:ascii="Cambria Math" w:hAnsi="Cambria Math"/>
          </w:rPr>
          <m:t>=</m:t>
        </m:r>
        <m:f>
          <m:fPr/>
          <m:num>
            <m:sSub>
              <m:sSubPr/>
              <m:e>
                <m:r>
                  <w:rPr>
                    <w:rFonts w:ascii="Cambria Math" w:hAnsi="Cambria Math"/>
                  </w:rPr>
                  <m:t>δ</m:t>
                </m:r>
              </m:e>
              <m:sub>
                <m:r>
                  <w:rPr>
                    <w:rFonts w:ascii="Cambria Math" w:hAnsi="Cambria Math"/>
                  </w:rPr>
                  <m:t>1</m:t>
                </m:r>
              </m:sub>
            </m:sSub>
          </m:num>
          <m:den>
            <m:sSub>
              <m:sSubPr/>
              <m:e>
                <m:r>
                  <w:rPr>
                    <w:rFonts w:ascii="Cambria Math" w:hAnsi="Cambria Math"/>
                  </w:rPr>
                  <m:t>λ</m:t>
                </m:r>
              </m:e>
              <m:sub>
                <m:r>
                  <w:rPr>
                    <w:rFonts w:ascii="Cambria Math" w:hAnsi="Cambria Math"/>
                  </w:rPr>
                  <m:t>1</m:t>
                </m:r>
              </m:sub>
            </m:sSub>
          </m:den>
        </m:f>
        <m:r>
          <w:rPr>
            <w:rFonts w:ascii="Cambria Math" w:hAnsi="Cambria Math"/>
          </w:rPr>
          <m:t>+</m:t>
        </m:r>
        <m:f>
          <m:fPr/>
          <m:num>
            <m:sSub>
              <m:sSubPr/>
              <m:e>
                <m:r>
                  <w:rPr>
                    <w:rFonts w:ascii="Cambria Math" w:hAnsi="Cambria Math"/>
                  </w:rPr>
                  <m:t>δ</m:t>
                </m:r>
              </m:e>
              <m:sub>
                <m:r>
                  <w:rPr>
                    <w:rFonts w:ascii="Cambria Math" w:hAnsi="Cambria Math"/>
                  </w:rPr>
                  <m:t>2</m:t>
                </m:r>
              </m:sub>
            </m:sSub>
          </m:num>
          <m:den>
            <m:sSub>
              <m:sSubPr/>
              <m:e>
                <m:r>
                  <w:rPr>
                    <w:rFonts w:ascii="Cambria Math" w:hAnsi="Cambria Math"/>
                  </w:rPr>
                  <m:t>λ</m:t>
                </m:r>
              </m:e>
              <m:sub>
                <m:r>
                  <w:rPr>
                    <w:rFonts w:ascii="Cambria Math" w:hAnsi="Cambria Math"/>
                  </w:rPr>
                  <m:t>2</m:t>
                </m:r>
              </m:sub>
            </m:sSub>
          </m:den>
        </m:f>
        <m:r>
          <w:rPr>
            <w:rFonts w:ascii="Cambria Math" w:hAnsi="Cambria Math"/>
          </w:rPr>
          <m:t>+</m:t>
        </m:r>
        <m:f>
          <m:fPr/>
          <m:num>
            <m:sSub>
              <m:sSubPr/>
              <m:e>
                <m:r>
                  <w:rPr>
                    <w:rFonts w:ascii="Cambria Math" w:hAnsi="Cambria Math"/>
                  </w:rPr>
                  <m:t>δ</m:t>
                </m:r>
              </m:e>
              <m:sub>
                <m:r>
                  <w:rPr>
                    <w:rFonts w:ascii="Cambria Math" w:hAnsi="Cambria Math"/>
                  </w:rPr>
                  <m:t>3</m:t>
                </m:r>
              </m:sub>
            </m:sSub>
          </m:num>
          <m:den>
            <m:sSub>
              <m:sSubPr/>
              <m:e>
                <m:r>
                  <w:rPr>
                    <w:rFonts w:ascii="Cambria Math" w:hAnsi="Cambria Math"/>
                  </w:rPr>
                  <m:t>λ</m:t>
                </m:r>
              </m:e>
              <m:sub>
                <m:r>
                  <w:rPr>
                    <w:rFonts w:ascii="Cambria Math" w:hAnsi="Cambria Math"/>
                  </w:rPr>
                  <m:t>3</m:t>
                </m:r>
              </m:sub>
            </m:sSub>
          </m:den>
        </m:f>
      </m:oMath>
    </w:p>
    <w:p>
      <w:pPr>
        <w:spacing w:before="120" w:after="120" w:line="288" w:lineRule="auto"/>
        <w:ind w:left="0"/>
        <w:jc w:val="left"/>
      </w:pPr>
      <w:r>
        <w:rPr>
          <w:rFonts w:ascii="Arial" w:hAnsi="Arial" w:eastAsia="等线" w:cs="Arial"/>
          <w:sz w:val="22"/>
        </w:rPr>
        <w:t>代入参数计算：</w:t>
      </w:r>
    </w:p>
    <w:p>
      <w:pPr>
        <w:numPr>
          <w:ilvl w:val="0"/>
          <w:numId w:val="6"/>
        </w:numPr>
        <w:spacing w:before="120" w:after="120" w:line="288" w:lineRule="auto"/>
        <w:ind w:left="0"/>
        <w:jc w:val="left"/>
      </w:pPr>
      <w:r>
        <w:rPr>
          <w:rFonts w:ascii="Arial" w:hAnsi="Arial" w:eastAsia="等线" w:cs="Arial"/>
          <w:sz w:val="22"/>
        </w:rPr>
        <w:t>外层玻璃热阻：</w:t>
      </w:r>
      <m:oMath>
        <m:sSub>
          <m:sSubPr/>
          <m:e>
            <m:r>
              <w:rPr>
                <w:rFonts w:ascii="Cambria Math" w:hAnsi="Cambria Math"/>
              </w:rPr>
              <m:t>R</m:t>
            </m:r>
          </m:e>
          <m:sub>
            <m:r>
              <w:rPr>
                <w:rFonts w:ascii="Cambria Math" w:hAnsi="Cambria Math"/>
              </w:rPr>
              <m:t>1</m:t>
            </m:r>
          </m:sub>
        </m:sSub>
        <m:r>
          <w:rPr>
            <w:rFonts w:ascii="Cambria Math" w:hAnsi="Cambria Math"/>
          </w:rPr>
          <m:t>=0.005/0.85=0.0059</m:t>
        </m:r>
        <m:d>
          <m:dPr>
            <m:sepChr m:val=","/>
          </m:dPr>
          <m:e>
            <m:r>
              <w:rPr>
                <w:rFonts w:ascii="Cambria Math" w:hAnsi="Cambria Math"/>
              </w:rPr>
              <m:t>㎡·K</m:t>
            </m:r>
          </m:e>
        </m:d>
        <m:r>
          <w:rPr>
            <w:rFonts w:ascii="Cambria Math" w:hAnsi="Cambria Math"/>
          </w:rPr>
          <m:t>/W</m:t>
        </m:r>
      </m:oMath>
    </w:p>
    <w:p>
      <w:pPr>
        <w:numPr>
          <w:ilvl w:val="0"/>
          <w:numId w:val="7"/>
        </w:numPr>
        <w:spacing w:before="120" w:after="120" w:line="288" w:lineRule="auto"/>
        <w:ind w:left="0"/>
        <w:jc w:val="left"/>
      </w:pPr>
      <w:r>
        <w:rPr>
          <w:rFonts w:ascii="Arial" w:hAnsi="Arial" w:eastAsia="等线" w:cs="Arial"/>
          <w:sz w:val="22"/>
        </w:rPr>
        <w:t>氩气层热阻：</w:t>
      </w:r>
      <m:oMath>
        <m:sSub>
          <m:sSubPr/>
          <m:e>
            <m:r>
              <w:rPr>
                <w:rFonts w:ascii="Cambria Math" w:hAnsi="Cambria Math"/>
              </w:rPr>
              <m:t>R</m:t>
            </m:r>
          </m:e>
          <m:sub>
            <m:r>
              <w:rPr>
                <w:rFonts w:ascii="Cambria Math" w:hAnsi="Cambria Math"/>
              </w:rPr>
              <m:t>2</m:t>
            </m:r>
          </m:sub>
        </m:sSub>
        <m:r>
          <w:rPr>
            <w:rFonts w:ascii="Cambria Math" w:hAnsi="Cambria Math"/>
          </w:rPr>
          <m:t>=0.012/0.018=0.6667</m:t>
        </m:r>
        <m:d>
          <m:dPr>
            <m:sepChr m:val=","/>
          </m:dPr>
          <m:e>
            <m:r>
              <w:rPr>
                <w:rFonts w:ascii="Cambria Math" w:hAnsi="Cambria Math"/>
              </w:rPr>
              <m:t>㎡·K</m:t>
            </m:r>
          </m:e>
        </m:d>
        <m:r>
          <w:rPr>
            <w:rFonts w:ascii="Cambria Math" w:hAnsi="Cambria Math"/>
          </w:rPr>
          <m:t>/W</m:t>
        </m:r>
      </m:oMath>
    </w:p>
    <w:p>
      <w:pPr>
        <w:numPr>
          <w:ilvl w:val="0"/>
          <w:numId w:val="8"/>
        </w:numPr>
        <w:spacing w:before="120" w:after="120" w:line="288" w:lineRule="auto"/>
        <w:ind w:left="0"/>
        <w:jc w:val="left"/>
      </w:pPr>
      <w:r>
        <w:rPr>
          <w:rFonts w:ascii="Arial" w:hAnsi="Arial" w:eastAsia="等线" w:cs="Arial"/>
          <w:sz w:val="22"/>
        </w:rPr>
        <w:t>内层玻璃热阻：</w:t>
      </w:r>
      <m:oMath>
        <m:sSub>
          <m:sSubPr/>
          <m:e>
            <m:r>
              <w:rPr>
                <w:rFonts w:ascii="Cambria Math" w:hAnsi="Cambria Math"/>
              </w:rPr>
              <m:t>R</m:t>
            </m:r>
          </m:e>
          <m:sub>
            <m:r>
              <w:rPr>
                <w:rFonts w:ascii="Cambria Math" w:hAnsi="Cambria Math"/>
              </w:rPr>
              <m:t>3</m:t>
            </m:r>
          </m:sub>
        </m:sSub>
        <m:r>
          <w:rPr>
            <w:rFonts w:ascii="Cambria Math" w:hAnsi="Cambria Math"/>
          </w:rPr>
          <m:t>=0.005/0.85=0.0059</m:t>
        </m:r>
        <m:d>
          <m:dPr>
            <m:sepChr m:val=","/>
          </m:dPr>
          <m:e>
            <m:r>
              <w:rPr>
                <w:rFonts w:ascii="Cambria Math" w:hAnsi="Cambria Math"/>
              </w:rPr>
              <m:t>㎡·K</m:t>
            </m:r>
          </m:e>
        </m:d>
        <m:r>
          <w:rPr>
            <w:rFonts w:ascii="Cambria Math" w:hAnsi="Cambria Math"/>
          </w:rPr>
          <m:t>/W</m:t>
        </m:r>
      </m:oMath>
    </w:p>
    <w:p>
      <w:pPr>
        <w:numPr>
          <w:ilvl w:val="0"/>
          <w:numId w:val="9"/>
        </w:numPr>
        <w:spacing w:before="120" w:after="120" w:line="288" w:lineRule="auto"/>
        <w:ind w:left="0"/>
        <w:jc w:val="left"/>
      </w:pPr>
      <w:r>
        <w:rPr>
          <w:rFonts w:ascii="Arial" w:hAnsi="Arial" w:eastAsia="等线" w:cs="Arial"/>
          <w:sz w:val="22"/>
        </w:rPr>
        <w:t>面板总热阻：</w:t>
      </w:r>
      <m:oMath>
        <m:sSub>
          <m:sSubPr/>
          <m:e>
            <m:r>
              <w:rPr>
                <w:rFonts w:ascii="Cambria Math" w:hAnsi="Cambria Math"/>
              </w:rPr>
              <m:t>R</m:t>
            </m:r>
          </m:e>
          <m:sub>
            <m:r>
              <w:rPr>
                <w:rFonts w:ascii="Cambria Math" w:hAnsi="Cambria Math"/>
              </w:rPr>
              <m:t>g</m:t>
            </m:r>
          </m:sub>
        </m:sSub>
        <m:r>
          <w:rPr>
            <w:rFonts w:ascii="Cambria Math" w:hAnsi="Cambria Math"/>
          </w:rPr>
          <m:t>=0.6785</m:t>
        </m:r>
        <m:d>
          <m:dPr>
            <m:sepChr m:val=","/>
          </m:dPr>
          <m:e>
            <m:r>
              <w:rPr>
                <w:rFonts w:ascii="Cambria Math" w:hAnsi="Cambria Math"/>
              </w:rPr>
              <m:t>㎡·K</m:t>
            </m:r>
          </m:e>
        </m:d>
        <m:r>
          <w:rPr>
            <w:rFonts w:ascii="Cambria Math" w:hAnsi="Cambria Math"/>
          </w:rPr>
          <m:t>/W</m:t>
        </m:r>
      </m:oMath>
    </w:p>
    <w:p>
      <w:pPr>
        <w:numPr>
          <w:ilvl w:val="0"/>
          <w:numId w:val="10"/>
        </w:numPr>
        <w:spacing w:before="120" w:after="120" w:line="288" w:lineRule="auto"/>
        <w:ind w:left="0"/>
        <w:jc w:val="left"/>
      </w:pPr>
      <w:r>
        <w:rPr>
          <w:rFonts w:ascii="Arial" w:hAnsi="Arial" w:eastAsia="等线" w:cs="Arial"/>
          <w:sz w:val="22"/>
        </w:rPr>
        <w:t>玻璃面板传热系数：</w:t>
      </w:r>
      <m:oMath>
        <m:sSub>
          <m:sSubPr/>
          <m:e>
            <m:r>
              <w:rPr>
                <w:rFonts w:ascii="Cambria Math" w:hAnsi="Cambria Math"/>
              </w:rPr>
              <m:t>K</m:t>
            </m:r>
          </m:e>
          <m:sub>
            <m:r>
              <w:rPr>
                <w:rFonts w:ascii="Cambria Math" w:hAnsi="Cambria Math"/>
              </w:rPr>
              <m:t>g</m:t>
            </m:r>
          </m:sub>
        </m:sSub>
        <m:r>
          <w:rPr>
            <w:rFonts w:ascii="Cambria Math" w:hAnsi="Cambria Math"/>
          </w:rPr>
          <m:t>=1/</m:t>
        </m:r>
        <m:sSub>
          <m:sSubPr/>
          <m:e>
            <m:r>
              <w:rPr>
                <w:rFonts w:ascii="Cambria Math" w:hAnsi="Cambria Math"/>
              </w:rPr>
              <m:t>R</m:t>
            </m:r>
          </m:e>
          <m:sub>
            <m:r>
              <w:rPr>
                <w:rFonts w:ascii="Cambria Math" w:hAnsi="Cambria Math"/>
              </w:rPr>
              <m:t>g</m:t>
            </m:r>
          </m:sub>
        </m:sSub>
        <m:r>
          <w:rPr>
            <w:rFonts w:ascii="Cambria Math" w:hAnsi="Cambria Math"/>
          </w:rPr>
          <m:t>≈1.47W/</m:t>
        </m:r>
        <m:d>
          <m:dPr>
            <m:sepChr m:val=","/>
          </m:dPr>
          <m:e>
            <m:r>
              <w:rPr>
                <w:rFonts w:ascii="Cambria Math" w:hAnsi="Cambria Math"/>
              </w:rPr>
              <m:t>㎡·K</m:t>
            </m:r>
          </m:e>
        </m:d>
      </m:oMath>
    </w:p>
    <w:p>
      <w:pPr>
        <w:spacing w:before="260" w:after="120" w:line="288" w:lineRule="auto"/>
        <w:ind w:left="0"/>
        <w:jc w:val="left"/>
        <w:outlineLvl w:val="3"/>
      </w:pPr>
      <w:bookmarkStart w:id="7" w:name="heading_7"/>
      <w:r>
        <w:rPr>
          <w:rFonts w:ascii="Arial" w:hAnsi="Arial" w:eastAsia="等线" w:cs="Arial"/>
          <w:b/>
          <w:sz w:val="28"/>
        </w:rPr>
        <w:t>3.1.2幕墙综合传热系数计算</w:t>
      </w:r>
      <w:bookmarkEnd w:id="7"/>
    </w:p>
    <w:p>
      <w:pPr>
        <w:spacing w:before="120" w:after="120" w:line="288" w:lineRule="auto"/>
        <w:ind w:left="0"/>
        <w:jc w:val="left"/>
      </w:pPr>
      <w:r>
        <w:rPr>
          <w:rFonts w:ascii="Arial" w:hAnsi="Arial" w:eastAsia="等线" w:cs="Arial"/>
          <w:sz w:val="22"/>
        </w:rPr>
        <w:t>考虑型材传热、边框热桥修正，幕墙综合传热系数计算公式：</w:t>
      </w:r>
      <m:oMath>
        <m:r>
          <w:rPr>
            <w:rFonts w:ascii="Cambria Math" w:hAnsi="Cambria Math"/>
          </w:rPr>
          <m:t>K=</m:t>
        </m:r>
        <m:f>
          <m:fPr/>
          <m:num>
            <m:sSub>
              <m:sSubPr/>
              <m:e>
                <m:r>
                  <w:rPr>
                    <w:rFonts w:ascii="Cambria Math" w:hAnsi="Cambria Math"/>
                  </w:rPr>
                  <m:t>A</m:t>
                </m:r>
              </m:e>
              <m:sub>
                <m:r>
                  <w:rPr>
                    <w:rFonts w:ascii="Cambria Math" w:hAnsi="Cambria Math"/>
                  </w:rPr>
                  <m:t>g</m:t>
                </m:r>
              </m:sub>
            </m:sSub>
            <m:r>
              <w:rPr>
                <w:rFonts w:ascii="Cambria Math" w:hAnsi="Cambria Math"/>
              </w:rPr>
              <m:t>×</m:t>
            </m:r>
            <m:sSub>
              <m:sSubPr/>
              <m:e>
                <m:r>
                  <w:rPr>
                    <w:rFonts w:ascii="Cambria Math" w:hAnsi="Cambria Math"/>
                  </w:rPr>
                  <m:t>K</m:t>
                </m:r>
              </m:e>
              <m:sub>
                <m:r>
                  <w:rPr>
                    <w:rFonts w:ascii="Cambria Math" w:hAnsi="Cambria Math"/>
                  </w:rPr>
                  <m:t>g</m:t>
                </m:r>
              </m:sub>
            </m:sSub>
            <m:r>
              <w:rPr>
                <w:rFonts w:ascii="Cambria Math" w:hAnsi="Cambria Math"/>
              </w:rPr>
              <m:t>+</m:t>
            </m:r>
            <m:sSub>
              <m:sSubPr/>
              <m:e>
                <m:r>
                  <w:rPr>
                    <w:rFonts w:ascii="Cambria Math" w:hAnsi="Cambria Math"/>
                  </w:rPr>
                  <m:t>A</m:t>
                </m:r>
              </m:e>
              <m:sub>
                <m:r>
                  <w:rPr>
                    <w:rFonts w:ascii="Cambria Math" w:hAnsi="Cambria Math"/>
                  </w:rPr>
                  <m:t>f</m:t>
                </m:r>
              </m:sub>
            </m:sSub>
            <m:r>
              <w:rPr>
                <w:rFonts w:ascii="Cambria Math" w:hAnsi="Cambria Math"/>
              </w:rPr>
              <m:t>×</m:t>
            </m:r>
            <m:sSub>
              <m:sSubPr/>
              <m:e>
                <m:r>
                  <w:rPr>
                    <w:rFonts w:ascii="Cambria Math" w:hAnsi="Cambria Math"/>
                  </w:rPr>
                  <m:t>K</m:t>
                </m:r>
              </m:e>
              <m:sub>
                <m:r>
                  <w:rPr>
                    <w:rFonts w:ascii="Cambria Math" w:hAnsi="Cambria Math"/>
                  </w:rPr>
                  <m:t>f</m:t>
                </m:r>
              </m:sub>
            </m:sSub>
          </m:num>
          <m:den>
            <m:sSub>
              <m:sSubPr/>
              <m:e>
                <m:r>
                  <w:rPr>
                    <w:rFonts w:ascii="Cambria Math" w:hAnsi="Cambria Math"/>
                  </w:rPr>
                  <m:t>A</m:t>
                </m:r>
              </m:e>
              <m:sub>
                <m:r>
                  <w:rPr>
                    <w:rFonts w:ascii="Cambria Math" w:hAnsi="Cambria Math"/>
                  </w:rPr>
                  <m:t>g</m:t>
                </m:r>
              </m:sub>
            </m:sSub>
            <m:r>
              <w:rPr>
                <w:rFonts w:ascii="Cambria Math" w:hAnsi="Cambria Math"/>
              </w:rPr>
              <m:t>+</m:t>
            </m:r>
            <m:sSub>
              <m:sSubPr/>
              <m:e>
                <m:r>
                  <w:rPr>
                    <w:rFonts w:ascii="Cambria Math" w:hAnsi="Cambria Math"/>
                  </w:rPr>
                  <m:t>A</m:t>
                </m:r>
              </m:e>
              <m:sub>
                <m:r>
                  <w:rPr>
                    <w:rFonts w:ascii="Cambria Math" w:hAnsi="Cambria Math"/>
                  </w:rPr>
                  <m:t>f</m:t>
                </m:r>
              </m:sub>
            </m:sSub>
          </m:den>
        </m:f>
      </m:oMath>
    </w:p>
    <w:p>
      <w:pPr>
        <w:spacing w:before="120" w:after="120" w:line="288" w:lineRule="auto"/>
        <w:ind w:left="0"/>
        <w:jc w:val="left"/>
      </w:pPr>
      <w:r>
        <w:rPr>
          <w:rFonts w:ascii="Arial" w:hAnsi="Arial" w:eastAsia="等线" w:cs="Arial"/>
          <w:sz w:val="22"/>
        </w:rPr>
        <w:t>参数取值：玻璃面积占比88%，型材面积占比12%，型材线传热系数</w:t>
      </w:r>
      <m:oMath>
        <m:r>
          <w:rPr>
            <w:rFonts w:ascii="Cambria Math" w:hAnsi="Cambria Math"/>
          </w:rPr>
          <m:t>ψ=0.35W/</m:t>
        </m:r>
        <m:d>
          <m:dPr>
            <m:sepChr m:val=","/>
          </m:dPr>
          <m:e>
            <m:r>
              <w:rPr>
                <w:rFonts w:ascii="Cambria Math" w:hAnsi="Cambria Math"/>
              </w:rPr>
              <m:t>m·K</m:t>
            </m:r>
          </m:e>
        </m:d>
      </m:oMath>
    </w:p>
    <w:p>
      <w:pPr>
        <w:spacing w:before="120" w:after="120" w:line="288" w:lineRule="auto"/>
        <w:ind w:left="0"/>
        <w:jc w:val="left"/>
      </w:pPr>
      <m:oMath>
        <m:r>
          <w:rPr>
            <w:rFonts w:ascii="Cambria Math" w:hAnsi="Cambria Math"/>
          </w:rPr>
          <m:t>K=2.02W/</m:t>
        </m:r>
        <m:d>
          <m:dPr>
            <m:sepChr m:val=","/>
          </m:dPr>
          <m:e>
            <m:r>
              <w:rPr>
                <w:rFonts w:ascii="Cambria Math" w:hAnsi="Cambria Math"/>
              </w:rPr>
              <m:t>㎡·K</m:t>
            </m:r>
          </m:e>
        </m:d>
      </m:oMath>
      <w:r>
        <w:rPr>
          <w:rFonts w:ascii="Arial" w:hAnsi="Arial" w:eastAsia="等线" w:cs="Arial"/>
          <w:b/>
          <w:sz w:val="22"/>
        </w:rPr>
        <w:t>最终幕墙综合传热系数：</w:t>
      </w:r>
    </w:p>
    <w:p>
      <w:pPr>
        <w:spacing w:before="300" w:after="120" w:line="288" w:lineRule="auto"/>
        <w:ind w:left="0"/>
        <w:jc w:val="left"/>
        <w:outlineLvl w:val="2"/>
      </w:pPr>
      <w:bookmarkStart w:id="8" w:name="heading_8"/>
      <w:r>
        <w:rPr>
          <w:rFonts w:ascii="Arial" w:hAnsi="Arial" w:eastAsia="等线" w:cs="Arial"/>
          <w:b/>
          <w:sz w:val="30"/>
        </w:rPr>
        <w:t>3.2太阳得热系数（SHGC）计算</w:t>
      </w:r>
      <w:bookmarkEnd w:id="8"/>
    </w:p>
    <w:p>
      <w:pPr>
        <w:spacing w:before="120" w:after="120" w:line="288" w:lineRule="auto"/>
        <w:ind w:left="0"/>
        <w:jc w:val="left"/>
      </w:pPr>
      <w:r>
        <w:rPr>
          <w:rFonts w:ascii="Arial" w:hAnsi="Arial" w:eastAsia="等线" w:cs="Arial"/>
          <w:sz w:val="22"/>
        </w:rPr>
        <w:t>太阳得热系数用于控制夏季太阳辐射热量进入室内，绿建评价要求透光围护结构太阳得热系数与夏季建筑遮阳系数乘积满足GB 50176-2016限值（≤0.44）。</w:t>
      </w:r>
    </w:p>
    <w:p>
      <w:pPr>
        <w:numPr>
          <w:ilvl w:val="0"/>
          <w:numId w:val="11"/>
        </w:numPr>
        <w:spacing w:before="120" w:after="120" w:line="288" w:lineRule="auto"/>
        <w:ind w:left="0"/>
        <w:jc w:val="left"/>
      </w:pPr>
      <w:r>
        <w:rPr>
          <w:rFonts w:ascii="Arial" w:hAnsi="Arial" w:eastAsia="等线" w:cs="Arial"/>
          <w:sz w:val="22"/>
        </w:rPr>
        <w:t>幕墙玻璃太阳得热系数（SHGC）：0.48</w:t>
      </w:r>
    </w:p>
    <w:p>
      <w:pPr>
        <w:numPr>
          <w:ilvl w:val="0"/>
          <w:numId w:val="12"/>
        </w:numPr>
        <w:spacing w:before="120" w:after="120" w:line="288" w:lineRule="auto"/>
        <w:ind w:left="0"/>
        <w:jc w:val="left"/>
      </w:pPr>
      <w:r>
        <w:rPr>
          <w:rFonts w:ascii="Arial" w:hAnsi="Arial" w:eastAsia="等线" w:cs="Arial"/>
          <w:sz w:val="22"/>
        </w:rPr>
        <w:t>夏季建筑外遮阳系数：0.85</w:t>
      </w:r>
    </w:p>
    <w:p>
      <w:pPr>
        <w:numPr>
          <w:ilvl w:val="0"/>
          <w:numId w:val="13"/>
        </w:numPr>
        <w:spacing w:before="120" w:after="120" w:line="288" w:lineRule="auto"/>
        <w:ind w:left="0"/>
        <w:jc w:val="left"/>
      </w:pPr>
      <w:r>
        <w:rPr>
          <w:rFonts w:ascii="Arial" w:hAnsi="Arial" w:eastAsia="等线" w:cs="Arial"/>
          <w:sz w:val="22"/>
        </w:rPr>
        <w:t>乘积结果：</w:t>
      </w:r>
      <w:r>
        <w:rPr>
          <w:rFonts w:ascii="Arial" w:hAnsi="Arial" w:eastAsia="等线" w:cs="Arial"/>
          <w:b/>
          <w:sz w:val="22"/>
        </w:rPr>
        <w:t>0.48×0.85=0.41</w:t>
      </w:r>
    </w:p>
    <w:p>
      <w:pPr>
        <w:spacing w:before="300" w:after="120" w:line="288" w:lineRule="auto"/>
        <w:ind w:left="0"/>
        <w:jc w:val="left"/>
        <w:outlineLvl w:val="2"/>
      </w:pPr>
      <w:bookmarkStart w:id="9" w:name="heading_9"/>
      <w:r>
        <w:rPr>
          <w:rFonts w:ascii="Arial" w:hAnsi="Arial" w:eastAsia="等线" w:cs="Arial"/>
          <w:b/>
          <w:sz w:val="30"/>
        </w:rPr>
        <w:t>3.3结露与冷凝性能验算</w:t>
      </w:r>
      <w:bookmarkEnd w:id="9"/>
    </w:p>
    <w:p>
      <w:pPr>
        <w:spacing w:before="120" w:after="120" w:line="288" w:lineRule="auto"/>
        <w:ind w:left="0"/>
        <w:jc w:val="left"/>
      </w:pPr>
      <w:r>
        <w:rPr>
          <w:rFonts w:ascii="Arial" w:hAnsi="Arial" w:eastAsia="等线" w:cs="Arial"/>
          <w:sz w:val="22"/>
        </w:rPr>
        <w:t>依据绿建评价与热工规范要求，验算室内设计工况下幕墙内表面结露风险、幕墙内部冷凝隐患：</w:t>
      </w:r>
    </w:p>
    <w:p>
      <w:pPr>
        <w:numPr>
          <w:ilvl w:val="0"/>
          <w:numId w:val="14"/>
        </w:numPr>
        <w:spacing w:before="120" w:after="120" w:line="288" w:lineRule="auto"/>
        <w:ind w:left="0"/>
        <w:jc w:val="left"/>
      </w:pPr>
      <w:r>
        <w:rPr>
          <w:rFonts w:ascii="Arial" w:hAnsi="Arial" w:eastAsia="等线" w:cs="Arial"/>
          <w:b/>
          <w:sz w:val="22"/>
        </w:rPr>
        <w:t>室内设计参数</w:t>
      </w:r>
      <w:r>
        <w:rPr>
          <w:rFonts w:ascii="Arial" w:hAnsi="Arial" w:eastAsia="等线" w:cs="Arial"/>
          <w:sz w:val="22"/>
        </w:rPr>
        <w:t>：温度18℃，相对湿度60%，室内露点温度8.3℃</w:t>
      </w:r>
    </w:p>
    <w:p>
      <w:pPr>
        <w:numPr>
          <w:ilvl w:val="0"/>
          <w:numId w:val="15"/>
        </w:numPr>
        <w:spacing w:before="120" w:after="120" w:line="288" w:lineRule="auto"/>
        <w:ind w:left="0"/>
        <w:jc w:val="left"/>
      </w:pPr>
      <w:r>
        <w:rPr>
          <w:rFonts w:ascii="Arial" w:hAnsi="Arial" w:eastAsia="等线" w:cs="Arial"/>
          <w:b/>
          <w:sz w:val="22"/>
        </w:rPr>
        <w:t>幕墙内表面最低温度</w:t>
      </w:r>
      <w:r>
        <w:rPr>
          <w:rFonts w:ascii="Arial" w:hAnsi="Arial" w:eastAsia="等线" w:cs="Arial"/>
          <w:sz w:val="22"/>
        </w:rPr>
        <w:t>：10.5℃</w:t>
      </w:r>
    </w:p>
    <w:p>
      <w:pPr>
        <w:numPr>
          <w:ilvl w:val="0"/>
          <w:numId w:val="16"/>
        </w:numPr>
        <w:spacing w:before="120" w:after="120" w:line="288" w:lineRule="auto"/>
        <w:ind w:left="0"/>
        <w:jc w:val="left"/>
      </w:pPr>
      <w:r>
        <w:rPr>
          <w:rFonts w:ascii="Arial" w:hAnsi="Arial" w:eastAsia="等线" w:cs="Arial"/>
          <w:b/>
          <w:sz w:val="22"/>
        </w:rPr>
        <w:t>判定结果</w:t>
      </w:r>
      <w:r>
        <w:rPr>
          <w:rFonts w:ascii="Arial" w:hAnsi="Arial" w:eastAsia="等线" w:cs="Arial"/>
          <w:sz w:val="22"/>
        </w:rPr>
        <w:t>：内表面温度高于露点温度，</w:t>
      </w:r>
      <w:r>
        <w:rPr>
          <w:rFonts w:ascii="Arial" w:hAnsi="Arial" w:eastAsia="等线" w:cs="Arial"/>
          <w:b/>
          <w:sz w:val="22"/>
        </w:rPr>
        <w:t>无结露风险</w:t>
      </w:r>
    </w:p>
    <w:p>
      <w:pPr>
        <w:numPr>
          <w:ilvl w:val="0"/>
          <w:numId w:val="17"/>
        </w:numPr>
        <w:spacing w:before="120" w:after="120" w:line="288" w:lineRule="auto"/>
        <w:ind w:left="0"/>
        <w:jc w:val="left"/>
      </w:pPr>
      <w:r>
        <w:rPr>
          <w:rFonts w:ascii="Arial" w:hAnsi="Arial" w:eastAsia="等线" w:cs="Arial"/>
          <w:sz w:val="22"/>
        </w:rPr>
        <w:t>幕墙腔体设置通风排水构造，蒸汽渗透阻达标，</w:t>
      </w:r>
      <w:r>
        <w:rPr>
          <w:rFonts w:ascii="Arial" w:hAnsi="Arial" w:eastAsia="等线" w:cs="Arial"/>
          <w:b/>
          <w:sz w:val="22"/>
        </w:rPr>
        <w:t>无内部冷凝现象</w:t>
      </w:r>
    </w:p>
    <w:p>
      <w:pPr>
        <w:spacing w:before="300" w:after="120" w:line="288" w:lineRule="auto"/>
        <w:ind w:left="0"/>
        <w:jc w:val="left"/>
        <w:outlineLvl w:val="2"/>
      </w:pPr>
      <w:bookmarkStart w:id="10" w:name="heading_10"/>
      <w:r>
        <w:rPr>
          <w:rFonts w:ascii="Arial" w:hAnsi="Arial" w:eastAsia="等线" w:cs="Arial"/>
          <w:b/>
          <w:sz w:val="30"/>
        </w:rPr>
        <w:t>3.4气密性等级判定</w:t>
      </w:r>
      <w:bookmarkEnd w:id="10"/>
    </w:p>
    <w:p>
      <w:pPr>
        <w:spacing w:before="120" w:after="120" w:line="288" w:lineRule="auto"/>
        <w:ind w:left="0"/>
        <w:jc w:val="left"/>
      </w:pPr>
      <w:r>
        <w:rPr>
          <w:rFonts w:ascii="Arial" w:hAnsi="Arial" w:eastAsia="等线" w:cs="Arial"/>
          <w:sz w:val="22"/>
        </w:rPr>
        <w:t>依据《建筑幕墙》GB/T 21086-2007标准，经检测核算，本项目幕墙气密性等级达到</w:t>
      </w:r>
      <w:r>
        <w:rPr>
          <w:rFonts w:ascii="Arial" w:hAnsi="Arial" w:eastAsia="等线" w:cs="Arial"/>
          <w:b/>
          <w:sz w:val="22"/>
        </w:rPr>
        <w:t>6级</w:t>
      </w:r>
      <w:r>
        <w:rPr>
          <w:rFonts w:ascii="Arial" w:hAnsi="Arial" w:eastAsia="等线" w:cs="Arial"/>
          <w:sz w:val="22"/>
        </w:rPr>
        <w:t>，空气渗透量≤0.5 m³/(m·h)，有效减少冬季冷风渗透、夏季冷量流失，提升节能效果。</w:t>
      </w:r>
    </w:p>
    <w:p>
      <w:pPr>
        <w:spacing w:before="320" w:after="120" w:line="288" w:lineRule="auto"/>
        <w:ind w:left="0"/>
        <w:jc w:val="left"/>
        <w:outlineLvl w:val="1"/>
      </w:pPr>
      <w:bookmarkStart w:id="11" w:name="heading_11"/>
      <w:r>
        <w:rPr>
          <w:rFonts w:ascii="Arial" w:hAnsi="Arial" w:eastAsia="等线" w:cs="Arial"/>
          <w:b/>
          <w:sz w:val="32"/>
        </w:rPr>
        <w:t>四、计算结果与合规性判定</w:t>
      </w:r>
      <w:bookmarkEnd w:id="11"/>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070"/>
        <w:gridCol w:w="2070"/>
        <w:gridCol w:w="2070"/>
        <w:gridCol w:w="2070"/>
      </w:tblGrid>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计算项目</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计算结果</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规范限值</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合规性判定</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幕墙综合传热系数K</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2.02 W/(㎡·K)</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≤2.2 W/(㎡·K)</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符合要求</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太阳得热系数×遮阳系数</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0.41</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≤0.44</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符合要求</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内表面结露控制</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无结露</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不得结露</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符合要求</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内部冷凝控制</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无冷凝</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不应产生冷凝</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符合要求</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幕墙气密性等级</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6级</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≥5级</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符合要求</w:t>
            </w:r>
          </w:p>
        </w:tc>
      </w:tr>
    </w:tbl>
    <w:p>
      <w:pPr>
        <w:spacing w:before="320" w:after="120" w:line="288" w:lineRule="auto"/>
        <w:ind w:left="0"/>
        <w:jc w:val="left"/>
        <w:outlineLvl w:val="1"/>
      </w:pPr>
      <w:bookmarkStart w:id="12" w:name="heading_12"/>
      <w:r>
        <w:rPr>
          <w:rFonts w:ascii="Arial" w:hAnsi="Arial" w:eastAsia="等线" w:cs="Arial"/>
          <w:b/>
          <w:sz w:val="32"/>
        </w:rPr>
        <w:t>五、计算结论</w:t>
      </w:r>
      <w:bookmarkEnd w:id="12"/>
    </w:p>
    <w:tbl>
      <w:tblPr>
        <w:tblStyle w:val="2"/>
        <w:tblW w:w="0" w:type="auto"/>
        <w:tblInd w:w="0" w:type="dxa"/>
        <w:tblBorders>
          <w:top w:val="single" w:color="B7EDB1" w:sz="0" w:space="0"/>
          <w:left w:val="single" w:color="B7EDB1" w:sz="0" w:space="0"/>
          <w:bottom w:val="single" w:color="B7EDB1" w:sz="0" w:space="0"/>
          <w:right w:val="single" w:color="B7EDB1" w:sz="0" w:space="0"/>
          <w:insideH w:val="single" w:color="B7EDB1" w:sz="0" w:space="0"/>
          <w:insideV w:val="single" w:color="B7EDB1" w:sz="0" w:space="0"/>
        </w:tblBorders>
        <w:tblLayout w:type="fixed"/>
        <w:tblCellMar>
          <w:top w:w="0" w:type="dxa"/>
          <w:left w:w="10" w:type="dxa"/>
          <w:bottom w:w="0" w:type="dxa"/>
          <w:right w:w="10" w:type="dxa"/>
        </w:tblCellMar>
      </w:tblPr>
      <w:tblGrid>
        <w:gridCol w:w="8280"/>
      </w:tblGrid>
      <w:tr>
        <w:tblPrEx>
          <w:tblBorders>
            <w:top w:val="single" w:color="B7EDB1" w:sz="0" w:space="0"/>
            <w:left w:val="single" w:color="B7EDB1" w:sz="0" w:space="0"/>
            <w:bottom w:val="single" w:color="B7EDB1" w:sz="0" w:space="0"/>
            <w:right w:val="single" w:color="B7EDB1" w:sz="0" w:space="0"/>
            <w:insideH w:val="single" w:color="B7EDB1" w:sz="0" w:space="0"/>
            <w:insideV w:val="single" w:color="B7EDB1" w:sz="0" w:space="0"/>
          </w:tblBorders>
          <w:tblCellMar>
            <w:top w:w="0" w:type="dxa"/>
            <w:left w:w="10" w:type="dxa"/>
            <w:bottom w:w="0" w:type="dxa"/>
            <w:right w:w="10" w:type="dxa"/>
          </w:tblCellMar>
        </w:tblPrEx>
        <w:tc>
          <w:tcPr>
            <w:tcW w:w="8280" w:type="dxa"/>
            <w:shd w:val="clear" w:color="auto" w:fill="FFF5EB"/>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本项目辰光溯昔博物馆断热铝合金Low-E中空玻璃幕墙，经严格热工性能计算，</w:t>
            </w:r>
            <w:r>
              <w:rPr>
                <w:rFonts w:ascii="Arial" w:hAnsi="Arial" w:eastAsia="等线" w:cs="Arial"/>
                <w:b/>
                <w:sz w:val="22"/>
              </w:rPr>
              <w:t>传热系数、太阳得热控制、结露冷凝防控、气密性</w:t>
            </w:r>
            <w:r>
              <w:rPr>
                <w:rFonts w:ascii="Arial" w:hAnsi="Arial" w:eastAsia="等线" w:cs="Arial"/>
                <w:sz w:val="22"/>
              </w:rPr>
              <w:t>等各项指标，均满足《民用建筑热工设计规范》《绿色建筑评价标准》及公共建筑节能设计相关要求，完全契合绿建评价系统中透光围护结构节能设计规定。</w:t>
            </w:r>
          </w:p>
        </w:tc>
      </w:tr>
    </w:tbl>
    <w:p>
      <w:pPr>
        <w:spacing w:before="120" w:after="120" w:line="288" w:lineRule="auto"/>
        <w:ind w:left="0"/>
        <w:jc w:val="left"/>
      </w:pPr>
      <w:bookmarkStart w:id="13" w:name="_GoBack"/>
      <w:bookmarkEnd w:id="13"/>
    </w:p>
    <w:sectPr>
      <w:headerReference r:id="rId3" w:type="default"/>
      <w:footerReference r:id="rId4" w:type="default"/>
      <w:pgSz w:w="11905" w:h="168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singleLevel"/>
    <w:tmpl w:val="9239341B"/>
    <w:lvl w:ilvl="0" w:tentative="0">
      <w:start w:val="0"/>
      <w:numFmt w:val="bullet"/>
      <w:lvlText w:val="•"/>
      <w:lvlJc w:val="left"/>
      <w:rPr>
        <w:color w:val="3370FF"/>
      </w:rPr>
    </w:lvl>
  </w:abstractNum>
  <w:abstractNum w:abstractNumId="1">
    <w:nsid w:val="B5E306ED"/>
    <w:multiLevelType w:val="singleLevel"/>
    <w:tmpl w:val="B5E306ED"/>
    <w:lvl w:ilvl="0" w:tentative="0">
      <w:start w:val="5"/>
      <w:numFmt w:val="decimal"/>
      <w:lvlText w:val="%1."/>
      <w:lvlJc w:val="left"/>
      <w:rPr>
        <w:color w:val="3370FF"/>
      </w:rPr>
    </w:lvl>
  </w:abstractNum>
  <w:abstractNum w:abstractNumId="2">
    <w:nsid w:val="BF205925"/>
    <w:multiLevelType w:val="singleLevel"/>
    <w:tmpl w:val="BF205925"/>
    <w:lvl w:ilvl="0" w:tentative="0">
      <w:start w:val="4"/>
      <w:numFmt w:val="decimal"/>
      <w:lvlText w:val="%1."/>
      <w:lvlJc w:val="left"/>
      <w:rPr>
        <w:color w:val="3370FF"/>
      </w:rPr>
    </w:lvl>
  </w:abstractNum>
  <w:abstractNum w:abstractNumId="3">
    <w:nsid w:val="C8879AEF"/>
    <w:multiLevelType w:val="singleLevel"/>
    <w:tmpl w:val="C8879AEF"/>
    <w:lvl w:ilvl="0" w:tentative="0">
      <w:start w:val="0"/>
      <w:numFmt w:val="bullet"/>
      <w:lvlText w:val="•"/>
      <w:lvlJc w:val="left"/>
      <w:rPr>
        <w:color w:val="3370FF"/>
      </w:rPr>
    </w:lvl>
  </w:abstractNum>
  <w:abstractNum w:abstractNumId="4">
    <w:nsid w:val="CF092B84"/>
    <w:multiLevelType w:val="singleLevel"/>
    <w:tmpl w:val="CF092B84"/>
    <w:lvl w:ilvl="0" w:tentative="0">
      <w:start w:val="2"/>
      <w:numFmt w:val="decimal"/>
      <w:lvlText w:val="%1."/>
      <w:lvlJc w:val="left"/>
      <w:rPr>
        <w:color w:val="3370FF"/>
      </w:rPr>
    </w:lvl>
  </w:abstractNum>
  <w:abstractNum w:abstractNumId="5">
    <w:nsid w:val="DCBA6B53"/>
    <w:multiLevelType w:val="singleLevel"/>
    <w:tmpl w:val="DCBA6B53"/>
    <w:lvl w:ilvl="0" w:tentative="0">
      <w:start w:val="0"/>
      <w:numFmt w:val="bullet"/>
      <w:lvlText w:val="•"/>
      <w:lvlJc w:val="left"/>
      <w:rPr>
        <w:color w:val="3370FF"/>
      </w:rPr>
    </w:lvl>
  </w:abstractNum>
  <w:abstractNum w:abstractNumId="6">
    <w:nsid w:val="F4B5D9F5"/>
    <w:multiLevelType w:val="singleLevel"/>
    <w:tmpl w:val="F4B5D9F5"/>
    <w:lvl w:ilvl="0" w:tentative="0">
      <w:start w:val="0"/>
      <w:numFmt w:val="bullet"/>
      <w:lvlText w:val="•"/>
      <w:lvlJc w:val="left"/>
      <w:rPr>
        <w:color w:val="3370FF"/>
      </w:rPr>
    </w:lvl>
  </w:abstractNum>
  <w:abstractNum w:abstractNumId="7">
    <w:nsid w:val="0053208E"/>
    <w:multiLevelType w:val="singleLevel"/>
    <w:tmpl w:val="0053208E"/>
    <w:lvl w:ilvl="0" w:tentative="0">
      <w:start w:val="1"/>
      <w:numFmt w:val="decimal"/>
      <w:lvlText w:val="%1."/>
      <w:lvlJc w:val="left"/>
      <w:rPr>
        <w:color w:val="3370FF"/>
      </w:rPr>
    </w:lvl>
  </w:abstractNum>
  <w:abstractNum w:abstractNumId="8">
    <w:nsid w:val="0248C179"/>
    <w:multiLevelType w:val="singleLevel"/>
    <w:tmpl w:val="0248C179"/>
    <w:lvl w:ilvl="0" w:tentative="0">
      <w:start w:val="0"/>
      <w:numFmt w:val="bullet"/>
      <w:lvlText w:val="•"/>
      <w:lvlJc w:val="left"/>
      <w:rPr>
        <w:color w:val="3370FF"/>
      </w:rPr>
    </w:lvl>
  </w:abstractNum>
  <w:abstractNum w:abstractNumId="9">
    <w:nsid w:val="03D62ECE"/>
    <w:multiLevelType w:val="singleLevel"/>
    <w:tmpl w:val="03D62ECE"/>
    <w:lvl w:ilvl="0" w:tentative="0">
      <w:start w:val="0"/>
      <w:numFmt w:val="bullet"/>
      <w:lvlText w:val="•"/>
      <w:lvlJc w:val="left"/>
      <w:rPr>
        <w:color w:val="3370FF"/>
      </w:rPr>
    </w:lvl>
  </w:abstractNum>
  <w:abstractNum w:abstractNumId="10">
    <w:nsid w:val="2470EC97"/>
    <w:multiLevelType w:val="singleLevel"/>
    <w:tmpl w:val="2470EC97"/>
    <w:lvl w:ilvl="0" w:tentative="0">
      <w:start w:val="0"/>
      <w:numFmt w:val="bullet"/>
      <w:lvlText w:val="•"/>
      <w:lvlJc w:val="left"/>
      <w:rPr>
        <w:color w:val="3370FF"/>
      </w:rPr>
    </w:lvl>
  </w:abstractNum>
  <w:abstractNum w:abstractNumId="11">
    <w:nsid w:val="25B654F3"/>
    <w:multiLevelType w:val="singleLevel"/>
    <w:tmpl w:val="25B654F3"/>
    <w:lvl w:ilvl="0" w:tentative="0">
      <w:start w:val="0"/>
      <w:numFmt w:val="bullet"/>
      <w:lvlText w:val="•"/>
      <w:lvlJc w:val="left"/>
      <w:rPr>
        <w:color w:val="3370FF"/>
      </w:rPr>
    </w:lvl>
  </w:abstractNum>
  <w:abstractNum w:abstractNumId="12">
    <w:nsid w:val="2A8F537B"/>
    <w:multiLevelType w:val="singleLevel"/>
    <w:tmpl w:val="2A8F537B"/>
    <w:lvl w:ilvl="0" w:tentative="0">
      <w:start w:val="0"/>
      <w:numFmt w:val="bullet"/>
      <w:lvlText w:val="•"/>
      <w:lvlJc w:val="left"/>
      <w:rPr>
        <w:color w:val="3370FF"/>
      </w:rPr>
    </w:lvl>
  </w:abstractNum>
  <w:abstractNum w:abstractNumId="13">
    <w:nsid w:val="4D4DC07F"/>
    <w:multiLevelType w:val="singleLevel"/>
    <w:tmpl w:val="4D4DC07F"/>
    <w:lvl w:ilvl="0" w:tentative="0">
      <w:start w:val="0"/>
      <w:numFmt w:val="bullet"/>
      <w:lvlText w:val="•"/>
      <w:lvlJc w:val="left"/>
      <w:rPr>
        <w:color w:val="3370FF"/>
      </w:rPr>
    </w:lvl>
  </w:abstractNum>
  <w:abstractNum w:abstractNumId="14">
    <w:nsid w:val="59ADCABA"/>
    <w:multiLevelType w:val="singleLevel"/>
    <w:tmpl w:val="59ADCABA"/>
    <w:lvl w:ilvl="0" w:tentative="0">
      <w:start w:val="3"/>
      <w:numFmt w:val="decimal"/>
      <w:lvlText w:val="%1."/>
      <w:lvlJc w:val="left"/>
      <w:rPr>
        <w:color w:val="3370FF"/>
      </w:rPr>
    </w:lvl>
  </w:abstractNum>
  <w:abstractNum w:abstractNumId="15">
    <w:nsid w:val="5A241D34"/>
    <w:multiLevelType w:val="singleLevel"/>
    <w:tmpl w:val="5A241D34"/>
    <w:lvl w:ilvl="0" w:tentative="0">
      <w:start w:val="0"/>
      <w:numFmt w:val="bullet"/>
      <w:lvlText w:val="•"/>
      <w:lvlJc w:val="left"/>
      <w:rPr>
        <w:color w:val="3370FF"/>
      </w:rPr>
    </w:lvl>
  </w:abstractNum>
  <w:abstractNum w:abstractNumId="16">
    <w:nsid w:val="72183CF9"/>
    <w:multiLevelType w:val="singleLevel"/>
    <w:tmpl w:val="72183CF9"/>
    <w:lvl w:ilvl="0" w:tentative="0">
      <w:start w:val="0"/>
      <w:numFmt w:val="bullet"/>
      <w:lvlText w:val="•"/>
      <w:lvlJc w:val="left"/>
      <w:rPr>
        <w:color w:val="3370FF"/>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6"/>
  </w:num>
  <w:num w:numId="9">
    <w:abstractNumId w:val="8"/>
  </w:num>
  <w:num w:numId="10">
    <w:abstractNumId w:val="0"/>
  </w:num>
  <w:num w:numId="11">
    <w:abstractNumId w:val="12"/>
  </w:num>
  <w:num w:numId="12">
    <w:abstractNumId w:val="15"/>
  </w:num>
  <w:num w:numId="13">
    <w:abstractNumId w:val="3"/>
  </w:num>
  <w:num w:numId="14">
    <w:abstractNumId w:val="13"/>
  </w:num>
  <w:num w:numId="15">
    <w:abstractNumId w:val="6"/>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compat>
    <w:useFELayout/>
    <w:splitPgBreakAndParaMark/>
    <w:compatSetting w:name="compatibilityMode" w:uri="http://schemas.microsoft.com/office/word" w:val="12"/>
  </w:compat>
  <w:rsids>
    <w:rsidRoot w:val="00000000"/>
    <w:rsid w:val="0F7813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Office_11.1.0.10009_F1E327BC-269C-435d-A152-05C5408002CA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2026-03-23T11:03:00Z</dcterms:created>
  <dc:creator>Apache POI</dc:creator>
  <cp:lastModifiedBy>hp</cp:lastModifiedBy>
  <dcterms:modified xsi:type="dcterms:W3CDTF">2026-03-23T11:06:55Z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