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建筑工程造价计算书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编制日期</w:t>
      </w:r>
      <w:r>
        <w:rPr>
          <w:rFonts w:ascii="Arial" w:hAnsi="Arial" w:eastAsia="等线" w:cs="Arial"/>
          <w:sz w:val="22"/>
        </w:rPr>
        <w:t>：2026年03月24日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适用阶段</w:t>
      </w:r>
      <w:r>
        <w:rPr>
          <w:rFonts w:ascii="Arial" w:hAnsi="Arial" w:eastAsia="等线" w:cs="Arial"/>
          <w:sz w:val="22"/>
        </w:rPr>
        <w:t>：绿色建筑评价申报阶段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编制人</w:t>
      </w:r>
      <w:r>
        <w:rPr>
          <w:rFonts w:ascii="Arial" w:hAnsi="Arial" w:eastAsia="等线" w:cs="Arial"/>
          <w:sz w:val="22"/>
        </w:rPr>
        <w:t>：李工（注册造价工程师）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审核人</w:t>
      </w:r>
      <w:r>
        <w:rPr>
          <w:rFonts w:ascii="Arial" w:hAnsi="Arial" w:eastAsia="等线" w:cs="Arial"/>
          <w:sz w:val="22"/>
        </w:rPr>
        <w:t>：王工（高级造价工程师）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项目负责人</w:t>
      </w:r>
      <w:r>
        <w:rPr>
          <w:rFonts w:ascii="Arial" w:hAnsi="Arial" w:eastAsia="等线" w:cs="Arial"/>
          <w:sz w:val="22"/>
        </w:rPr>
        <w:t>：张工（一级注册建筑师）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目 录</w:t>
      </w:r>
      <w:bookmarkEnd w:id="0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编制说明与依据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项目基础概况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建筑工程总造价核算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装饰性构件界定及造价核算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装饰性构件造价占比计算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绿建评价符合性判定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签字盖章页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1 编制说明与依据</w:t>
      </w:r>
      <w:bookmarkEnd w:id="1"/>
    </w:p>
    <w:p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1.1 编制说明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计算书针对辰光溯昔博物馆项目，严格依据绿色建筑评价标准要求，核算项目建筑工程总造价，并专项统计装饰性构件造价、计算其占比，验证是否满足公共建筑装饰性构件造价占比不大于1%的强制性条款，所有数据参照驻马店当地造价行情、项目施工图及工程量清单测算，确保真实合规，作为绿建申报专项支撑资料。</w:t>
      </w:r>
    </w:p>
    <w:p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1.2 编制依据</w:t>
      </w:r>
      <w:bookmarkEnd w:id="3"/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《绿色建筑评价标准》GB/T 50378-2019</w:t>
      </w:r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《建设工程工程量清单计价规范》GB 50500-2013</w:t>
      </w:r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《河南省建设工程工程量清单综合单价（2016版）》</w:t>
      </w:r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河南省驻马店市2026年第一季度建设工程造价信息</w:t>
      </w:r>
    </w:p>
    <w:p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本项目建筑、结构、装饰、机电专业施工图纸</w:t>
      </w:r>
    </w:p>
    <w:p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本项目工程量清单及成本测算台账</w:t>
      </w:r>
    </w:p>
    <w:p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《建筑工程造价鉴定规范》GB/T 51262-2017</w:t>
      </w:r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本计算书造价不含土地费、前期咨询费、监理费等间接费用，仅核算项目实体工程造价；装饰性构件严格按绿建标准界定，剔除功能性构件，核算口径符合评审要求。</w:t>
            </w:r>
          </w:p>
        </w:tc>
      </w:tr>
    </w:tbl>
    <w:p>
      <w:pPr>
        <w:spacing w:before="380" w:after="140" w:line="288" w:lineRule="auto"/>
        <w:ind w:left="0"/>
        <w:jc w:val="left"/>
        <w:outlineLvl w:val="0"/>
      </w:pPr>
      <w:bookmarkStart w:id="4" w:name="heading_4"/>
      <w:r>
        <w:rPr>
          <w:rFonts w:ascii="Arial" w:hAnsi="Arial" w:eastAsia="等线" w:cs="Arial"/>
          <w:b/>
          <w:sz w:val="36"/>
        </w:rPr>
        <w:t>2 项目基础概况</w:t>
      </w:r>
      <w:bookmarkEnd w:id="4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00"/>
        <w:gridCol w:w="300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项目名称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辰光溯昔—基于豫南地区生态的博物馆绿色建筑设计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建设地点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河南省驻马店市驿城区练江大道与白桥路交叉口西南角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用地面积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36612 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总建筑面积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18209.2 ㎡（地上3层，局部2层，无地下）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建筑性质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公共文化建筑（博物馆）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结构形式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钢筋混凝土框架结构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绿建管控要求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装饰性构件造价占建筑总造价比例≤1%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本项目建筑造型秉持简约生态理念，外立面以清水混凝土、节能玻璃幕墙为主，无冗余复杂装饰，仅设置少量点缀式造型构件，契合绿建“造型简约、无大量装饰性构件”的核心要求。</w:t>
      </w:r>
    </w:p>
    <w:p>
      <w:pPr>
        <w:spacing w:before="380" w:after="140" w:line="288" w:lineRule="auto"/>
        <w:ind w:left="0"/>
        <w:jc w:val="left"/>
        <w:outlineLvl w:val="0"/>
      </w:pPr>
      <w:bookmarkStart w:id="5" w:name="heading_5"/>
      <w:r>
        <w:rPr>
          <w:rFonts w:ascii="Arial" w:hAnsi="Arial" w:eastAsia="等线" w:cs="Arial"/>
          <w:b/>
          <w:sz w:val="36"/>
        </w:rPr>
        <w:t>3 建筑工程总造价核算</w:t>
      </w:r>
      <w:bookmarkEnd w:id="5"/>
    </w:p>
    <w:p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3.1 造价构成范围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建筑工程总造价为项目实体建设费用，涵盖土建结构、装饰装修、给排水、暖通空调、建筑电气、消防工程、室外配套工程，不含前期费用、管理费、财务费等非工程实体费用。</w:t>
      </w:r>
    </w:p>
    <w:p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3.2 总造价明细核算</w:t>
      </w:r>
      <w:bookmarkEnd w:id="7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费用分项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核算金额（元）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备注说明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土建结构工程费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43260000.00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基础、框架主体、砌体、屋面结构等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装饰装修工程费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22580000.00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内外墙、地面、吊顶、功能性饰面（不含纯装饰构件）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给排水工程费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5420000.00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生活给水、排水、消防水系统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暖通空调工程费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9150000.00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空调、通风、防排烟系统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建筑电气工程费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7830000.00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强电、弱电、照明、配电、防雷系统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消防专项工程费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3360000.00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火灾报警、自动灭火、防火分隔系统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室外配套工程费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1890000.00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场地硬化、管线接驳、景观构筑物（非装饰）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建筑工程总造价合计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93490000.00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大写：人民币玖仟叁佰肆拾玖万元整</w:t>
            </w:r>
          </w:p>
        </w:tc>
      </w:tr>
    </w:tbl>
    <w:p>
      <w:pPr>
        <w:spacing w:before="380" w:after="140" w:line="288" w:lineRule="auto"/>
        <w:ind w:left="0"/>
        <w:jc w:val="left"/>
        <w:outlineLvl w:val="0"/>
      </w:pPr>
      <w:bookmarkStart w:id="8" w:name="heading_8"/>
      <w:r>
        <w:rPr>
          <w:rFonts w:ascii="Arial" w:hAnsi="Arial" w:eastAsia="等线" w:cs="Arial"/>
          <w:b/>
          <w:sz w:val="36"/>
        </w:rPr>
        <w:t>4 装饰性构件界定及造价核算</w:t>
      </w:r>
      <w:bookmarkEnd w:id="8"/>
    </w:p>
    <w:p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4.1 装饰性构件界定标准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按照绿建评价标准，装饰性构件指无实用功能、仅为提升建筑造型效果的构件，不包含结构受力构件、节能构件、防水构件、防护构件、设备构件及满足使用功能的构配件。</w:t>
      </w:r>
    </w:p>
    <w:p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4.2 装饰性构件清单及造价核算</w:t>
      </w:r>
      <w:bookmarkEnd w:id="10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构件名称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规格材质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工程量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综合单价（元）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合价（元）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构件属性说明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外立面装饰线条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铝合金哑光烤漆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720m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129600.00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纯造型装饰，无结构、节能功能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入口装饰景墙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花岗岩饰面造型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132㎡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610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80520.00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非结构、非防护，仅造型点缀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室内展厅装饰造型板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GRP环保板材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208㎡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275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57200.00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无实用功能，仅展厅氛围装饰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屋面装饰压顶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混凝土预制饰面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350m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36750.00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非防水、非节能，纯屋面造型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零星装饰配件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不锈钢造型件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9930.00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小型纯装饰构配件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装饰性构件总造价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314000.00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大写：人民币叁拾壹万肆仟元整</w:t>
            </w:r>
          </w:p>
        </w:tc>
      </w:tr>
    </w:tbl>
    <w:p>
      <w:pPr>
        <w:spacing w:before="380" w:after="140" w:line="288" w:lineRule="auto"/>
        <w:ind w:left="0"/>
        <w:jc w:val="left"/>
        <w:outlineLvl w:val="0"/>
      </w:pPr>
      <w:bookmarkStart w:id="11" w:name="heading_11"/>
      <w:r>
        <w:rPr>
          <w:rFonts w:ascii="Arial" w:hAnsi="Arial" w:eastAsia="等线" w:cs="Arial"/>
          <w:b/>
          <w:sz w:val="36"/>
        </w:rPr>
        <w:t>5 装饰性构件造价占比计算</w:t>
      </w:r>
      <w:bookmarkEnd w:id="11"/>
    </w:p>
    <w:p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5.1 计算公式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装饰性构件造价占比 =（装饰性构件总造价 ÷ 建筑工程总造价）× 100%</w:t>
      </w:r>
    </w:p>
    <w:p>
      <w:pPr>
        <w:spacing w:before="320" w:after="120" w:line="288" w:lineRule="auto"/>
        <w:ind w:left="0"/>
        <w:jc w:val="left"/>
        <w:outlineLvl w:val="1"/>
      </w:pPr>
      <w:bookmarkStart w:id="13" w:name="heading_13"/>
      <w:r>
        <w:rPr>
          <w:rFonts w:ascii="Arial" w:hAnsi="Arial" w:eastAsia="等线" w:cs="Arial"/>
          <w:b/>
          <w:sz w:val="32"/>
        </w:rPr>
        <w:t>5.2 数据代入计算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装饰性构件造价占比 =（314000.00 ÷ 93490000.00）× 100% ≈ </w:t>
      </w:r>
      <w:r>
        <w:rPr>
          <w:rFonts w:ascii="Arial" w:hAnsi="Arial" w:eastAsia="等线" w:cs="Arial"/>
          <w:b/>
          <w:sz w:val="22"/>
        </w:rPr>
        <w:t>0.336%</w:t>
      </w:r>
    </w:p>
    <w:p>
      <w:pPr>
        <w:spacing w:before="320" w:after="120" w:line="288" w:lineRule="auto"/>
        <w:ind w:left="0"/>
        <w:jc w:val="left"/>
        <w:outlineLvl w:val="1"/>
      </w:pPr>
      <w:bookmarkStart w:id="14" w:name="heading_14"/>
      <w:r>
        <w:rPr>
          <w:rFonts w:ascii="Arial" w:hAnsi="Arial" w:eastAsia="等线" w:cs="Arial"/>
          <w:b/>
          <w:sz w:val="32"/>
        </w:rPr>
        <w:t>5.3 计算结果</w:t>
      </w:r>
      <w:bookmarkEnd w:id="14"/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本项目装饰性构件造价占建筑总造价的比例为：</w:t>
            </w:r>
            <w:r>
              <w:rPr>
                <w:rFonts w:ascii="Arial" w:hAnsi="Arial" w:eastAsia="等线" w:cs="Arial"/>
                <w:b/>
                <w:sz w:val="22"/>
              </w:rPr>
              <w:t>0.336%</w:t>
            </w:r>
          </w:p>
        </w:tc>
      </w:tr>
    </w:tbl>
    <w:p>
      <w:pPr>
        <w:spacing w:before="380" w:after="140" w:line="288" w:lineRule="auto"/>
        <w:ind w:left="0"/>
        <w:jc w:val="left"/>
        <w:outlineLvl w:val="0"/>
      </w:pPr>
      <w:bookmarkStart w:id="15" w:name="heading_15"/>
      <w:r>
        <w:rPr>
          <w:rFonts w:ascii="Arial" w:hAnsi="Arial" w:eastAsia="等线" w:cs="Arial"/>
          <w:b/>
          <w:sz w:val="36"/>
        </w:rPr>
        <w:t>6 绿建评价符合性判定</w:t>
      </w:r>
      <w:bookmarkEnd w:id="15"/>
    </w:p>
    <w:p>
      <w:pPr>
        <w:spacing w:before="320" w:after="120" w:line="288" w:lineRule="auto"/>
        <w:ind w:left="0"/>
        <w:jc w:val="left"/>
        <w:outlineLvl w:val="1"/>
      </w:pPr>
      <w:bookmarkStart w:id="16" w:name="heading_16"/>
      <w:r>
        <w:rPr>
          <w:rFonts w:ascii="Arial" w:hAnsi="Arial" w:eastAsia="等线" w:cs="Arial"/>
          <w:b/>
          <w:sz w:val="32"/>
        </w:rPr>
        <w:t>6.1 标准要求对比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《绿色建筑评价标准》GB/T 50378-2019明确规定：</w:t>
      </w:r>
      <w:r>
        <w:rPr>
          <w:rFonts w:ascii="Arial" w:hAnsi="Arial" w:eastAsia="等线" w:cs="Arial"/>
          <w:b/>
          <w:sz w:val="22"/>
        </w:rPr>
        <w:t>公共建筑装饰性构件造价占建筑总造价的比例不应大于1%</w:t>
      </w:r>
    </w:p>
    <w:p>
      <w:pPr>
        <w:spacing w:before="320" w:after="120" w:line="288" w:lineRule="auto"/>
        <w:ind w:left="0"/>
        <w:jc w:val="left"/>
        <w:outlineLvl w:val="1"/>
      </w:pPr>
      <w:bookmarkStart w:id="17" w:name="heading_17"/>
      <w:r>
        <w:rPr>
          <w:rFonts w:ascii="Arial" w:hAnsi="Arial" w:eastAsia="等线" w:cs="Arial"/>
          <w:b/>
          <w:sz w:val="32"/>
        </w:rPr>
        <w:t>6.2 符合性结论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经精准核算，本项目装饰性构件造价占比为0.336%，远低于绿建标准规定的1%限值；且建筑造型简约大气，无大量冗余装饰性构件，完全满足绿色建筑评价系统“建筑造型要素应简约，应无大量装饰性构件”的全部管控要求，符合绿建申报合规性标准。</w:t>
      </w:r>
      <w:bookmarkStart w:id="18" w:name="_GoBack"/>
      <w:bookmarkEnd w:id="18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6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03D62ECE"/>
    <w:multiLevelType w:val="singleLevel"/>
    <w:tmpl w:val="03D62ECE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8">
    <w:nsid w:val="25B654F3"/>
    <w:multiLevelType w:val="singleLevel"/>
    <w:tmpl w:val="25B654F3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9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2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0"/>
  </w:num>
  <w:num w:numId="11">
    <w:abstractNumId w:val="9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3F6C23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2026-03-24T10:00:00Z</dcterms:created>
  <dc:creator>Apache POI</dc:creator>
  <cp:lastModifiedBy>hp</cp:lastModifiedBy>
  <dcterms:modified xsi:type="dcterms:W3CDTF">2026-03-24T10:01:22Z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