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建筑形体规则性判定报告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编制单位</w:t>
      </w:r>
      <w:r>
        <w:rPr>
          <w:rFonts w:ascii="Arial" w:hAnsi="Arial" w:eastAsia="等线" w:cs="Arial"/>
          <w:sz w:val="22"/>
        </w:rPr>
        <w:t>：河南绿建工程设计有限公司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：LS-GG-2026-036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：2026年03月24日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适用阶段</w:t>
      </w:r>
      <w:r>
        <w:rPr>
          <w:rFonts w:ascii="Arial" w:hAnsi="Arial" w:eastAsia="等线" w:cs="Arial"/>
          <w:sz w:val="22"/>
        </w:rPr>
        <w:t>：绿色建筑评价申报阶段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项目负责人</w:t>
      </w:r>
      <w:r>
        <w:rPr>
          <w:rFonts w:ascii="Arial" w:hAnsi="Arial" w:eastAsia="等线" w:cs="Arial"/>
          <w:sz w:val="22"/>
        </w:rPr>
        <w:t>：张工（一级注册结构工程师）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目 录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报告编制说明与依据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项目基本概况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建筑结构体系与形体设计概况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建筑形体规则性判定指标及验算分析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不规则项排查与判定结论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绿建评价符合性说明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签字盖章页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1 报告编制说明与依据</w:t>
      </w:r>
      <w:bookmarkEnd w:id="1"/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1.1 编制说明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满足绿色建筑评价系统“不应采用建筑形体和布置严重不规则的建筑结构”的管控要求，针对本项目建筑形体、平面布置、竖向体型、结构布置开展专项规则性判定，核查是否存在严重不规则情形，出具本判定报告，作为绿建评价申报支撑文件。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1.2 编制依据</w:t>
      </w:r>
      <w:bookmarkEnd w:id="3"/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《建筑抗震设计规范》GB 50011-2010（2016年版）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《混凝土结构设计规范》GB 50010-2010（2015年版）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《建筑结构可靠性设计统一标准》GB 50068-2018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本项目建筑施工图、结构施工图、地质勘察报告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河南省驻马店市抗震设防、建筑结构管控相关规定</w:t>
      </w:r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本报告判定标准参照现行国家结构设计规范及绿建评价要求，判定数据均结合项目实际设计参数测算，真实反映建筑形体规则性状态。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2 项目基本概况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总建筑面积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18209.2 ㎡，其中地上建筑面积18209.2 ㎡，无地下建筑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建筑层数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地上3层，局部2层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建筑高度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室外地面至屋面面层高度15.3m，最高点高度16.8m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抗震设防烈度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6度，设计基本地震加速度0.05g，设计地震分组第二组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建筑功能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展览展厅、文物库房、行政办公、公共服务、设备机房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3 建筑结构体系与形体设计概况</w:t>
      </w:r>
      <w:bookmarkEnd w:id="5"/>
    </w:p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3.1 结构体系选型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本项目为多层公共文化建筑，结合建筑功能与形体布局，采用</w:t>
      </w:r>
      <w:r>
        <w:rPr>
          <w:rFonts w:ascii="Arial" w:hAnsi="Arial" w:eastAsia="等线" w:cs="Arial"/>
          <w:b/>
          <w:sz w:val="22"/>
        </w:rPr>
        <w:t>钢筋混凝土框架结构体系</w:t>
      </w:r>
      <w:r>
        <w:rPr>
          <w:rFonts w:ascii="Arial" w:hAnsi="Arial" w:eastAsia="等线" w:cs="Arial"/>
          <w:sz w:val="22"/>
        </w:rPr>
        <w:t>，框架抗震等级为四级，楼屋面采用现浇钢筋混凝土梁板结构，基础形式采用柱下独立基础+防水板，整体结构受力明确、传力直接。</w:t>
      </w:r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3.2 建筑形体设计特点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平面整体呈矩形规整布局，结合博物馆展陈需求做局部内凹造型，无大面积悬挑、错层、收进等极端形体设计；竖向体型连续均匀，各楼层竖向构件（柱、墙）上下对齐，无竖向刚度突变、承载力突变情况，建筑外立面简洁规整，符合生态低碳设计理念的同时，兼顾结构规则性要求。</w:t>
      </w:r>
    </w:p>
    <w:p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4 建筑形体规则性判定指标及验算分析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依据《建筑抗震设计规范》GB 50011相关要求，从</w:t>
      </w:r>
      <w:r>
        <w:rPr>
          <w:rFonts w:ascii="Arial" w:hAnsi="Arial" w:eastAsia="等线" w:cs="Arial"/>
          <w:b/>
          <w:sz w:val="22"/>
        </w:rPr>
        <w:t>平面规则性</w:t>
      </w:r>
      <w:r>
        <w:rPr>
          <w:rFonts w:ascii="Arial" w:hAnsi="Arial" w:eastAsia="等线" w:cs="Arial"/>
          <w:sz w:val="22"/>
        </w:rPr>
        <w:t>、</w:t>
      </w:r>
      <w:r>
        <w:rPr>
          <w:rFonts w:ascii="Arial" w:hAnsi="Arial" w:eastAsia="等线" w:cs="Arial"/>
          <w:b/>
          <w:sz w:val="22"/>
        </w:rPr>
        <w:t>竖向规则性</w:t>
      </w:r>
      <w:r>
        <w:rPr>
          <w:rFonts w:ascii="Arial" w:hAnsi="Arial" w:eastAsia="等线" w:cs="Arial"/>
          <w:sz w:val="22"/>
        </w:rPr>
        <w:t>两大核心维度，对建筑形体及结构布置进行逐项验算，排查不规则项，具体判定指标及数据如下：</w:t>
      </w:r>
    </w:p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4.1 平面规则性判定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平面规则性主要核查平面布置对称性、凹凸尺寸、楼板连续性、抗侧力构件布置等指标，杜绝平面严重不规则。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判定指标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规范限值要求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本项目设计参数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判定结果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平面凹凸尺寸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平面凸出长度≤对应边长30%，凹进深度≤对应边长30%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最大凸出长度8.2m，对应边长32.5m，占比25.2%；最大凹进深度6.8m，对应边长38.6m，占比17.6%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符合要求，无平面凹凸不规则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平面扭转规则性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位移比≤1.2，无明显扭转不规则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最大楼层位移比1.12，平动扭转周期比0.78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符合要求，无扭转不规则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楼板连续性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楼板开洞面积≤该层面积30%，无楼板错层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各楼层楼板开洞总面积均≤15%，无错层、夹层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符合要求，楼板连续规整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抗侧力构件布置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抗侧力构件对称均匀布置，无偏心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框架柱双向均匀对称布置，质心与刚心偏差≤5%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符合要求，构件布置规整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4.2 竖向规则性判定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竖向规则性主要核查竖向构件连续性、楼层刚度变化、层高均匀性、承载力分布等指标，杜绝竖向严重不规则。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判定指标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规范限值要求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本项目设计参数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判定结果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竖向构件对齐度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上下层柱、墙竖向对齐，无偏移错位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各楼层框架柱上下完全对齐，竖向连续无错位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符合要求，竖向构件规整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楼层侧向刚度比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相邻楼层刚度比≥0.7，上部楼层刚度≤下部楼层1.5倍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1-2层刚度比0.92，2-3层刚度比0.87，无刚度突变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符合要求，无刚度不规则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楼层承载力突变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上层抗侧承载力≥下层80%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各楼层抗侧承载力均≥下层90%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符合要求，无承载力突变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层高均匀性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层高变化≤20%，无局部夹层、大空间突变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标准层高4.2m，局部层高4.5m，变化幅度7.1%，无突变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符合要求，层高均匀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竖向收进与悬挑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立面收进尺寸≤对应宽度25%，悬挑长度≤2m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最大立面收进宽度占比18%，最大悬挑长度1.5m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符合要求，无竖向不规则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11" w:name="heading_11"/>
      <w:r>
        <w:rPr>
          <w:rFonts w:ascii="Arial" w:hAnsi="Arial" w:eastAsia="等线" w:cs="Arial"/>
          <w:b/>
          <w:sz w:val="36"/>
        </w:rPr>
        <w:t>5 不规则项排查与判定结论</w:t>
      </w:r>
      <w:bookmarkEnd w:id="11"/>
    </w:p>
    <w:p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5.1 不规则项全面排查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结合上述平面、竖向规则性指标验算结果，对本项目建筑形体及结构布置进行全维度排查，结果显示：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无</w:t>
      </w:r>
      <w:r>
        <w:rPr>
          <w:rFonts w:ascii="Arial" w:hAnsi="Arial" w:eastAsia="等线" w:cs="Arial"/>
          <w:b/>
          <w:sz w:val="22"/>
        </w:rPr>
        <w:t>平面严重不规则</w:t>
      </w:r>
      <w:r>
        <w:rPr>
          <w:rFonts w:ascii="Arial" w:hAnsi="Arial" w:eastAsia="等线" w:cs="Arial"/>
          <w:sz w:val="22"/>
        </w:rPr>
        <w:t>情形：无过大凹凸、扭转效应、楼板不连续等问题；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无</w:t>
      </w:r>
      <w:r>
        <w:rPr>
          <w:rFonts w:ascii="Arial" w:hAnsi="Arial" w:eastAsia="等线" w:cs="Arial"/>
          <w:b/>
          <w:sz w:val="22"/>
        </w:rPr>
        <w:t>竖向严重不规则</w:t>
      </w:r>
      <w:r>
        <w:rPr>
          <w:rFonts w:ascii="Arial" w:hAnsi="Arial" w:eastAsia="等线" w:cs="Arial"/>
          <w:sz w:val="22"/>
        </w:rPr>
        <w:t>情形：无刚度突变、承载力突变、竖向构件错位、立面突变等问题；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仅存在轻微局部规整优化项，不属于规范界定的不规则项，不影响结构整体安全与绿建评价要求。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5.2 最终判定结论</w:t>
      </w:r>
      <w:bookmarkEnd w:id="13"/>
    </w:p>
    <w:tbl>
      <w:tblPr>
        <w:tblStyle w:val="2"/>
        <w:tblW w:w="0" w:type="auto"/>
        <w:tblInd w:w="0" w:type="dxa"/>
        <w:tblBorders>
          <w:top w:val="single" w:color="B7EDB1" w:sz="0" w:space="0"/>
          <w:left w:val="single" w:color="B7EDB1" w:sz="0" w:space="0"/>
          <w:bottom w:val="single" w:color="B7EDB1" w:sz="0" w:space="0"/>
          <w:right w:val="single" w:color="B7EDB1" w:sz="0" w:space="0"/>
          <w:insideH w:val="single" w:color="B7EDB1" w:sz="0" w:space="0"/>
          <w:insideV w:val="single" w:color="B7EDB1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B7EDB1" w:sz="0" w:space="0"/>
            <w:left w:val="single" w:color="B7EDB1" w:sz="0" w:space="0"/>
            <w:bottom w:val="single" w:color="B7EDB1" w:sz="0" w:space="0"/>
            <w:right w:val="single" w:color="B7EDB1" w:sz="0" w:space="0"/>
            <w:insideH w:val="single" w:color="B7EDB1" w:sz="0" w:space="0"/>
            <w:insideV w:val="single" w:color="B7EDB1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经专项验算与排查，</w:t>
            </w:r>
            <w:r>
              <w:rPr>
                <w:rFonts w:ascii="Arial" w:hAnsi="Arial" w:eastAsia="等线" w:cs="Arial"/>
                <w:b/>
                <w:sz w:val="22"/>
              </w:rPr>
              <w:t>辰光溯昔—基于豫南地区生态的博物馆绿色建筑设计</w:t>
            </w:r>
            <w:r>
              <w:rPr>
                <w:rFonts w:ascii="Arial" w:hAnsi="Arial" w:eastAsia="等线" w:cs="Arial"/>
                <w:sz w:val="22"/>
              </w:rPr>
              <w:t>建筑形体规整、结构布置均匀，不存在建筑形体和布置严重不规则的情形，完全满足绿色建筑评价系统“不应采用建筑形体和布置严重不规则的建筑结构”的强制性要求，建筑形体规则性判定合格。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6 绿建评价符合性说明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建筑形体设计兼顾生态美学与结构规则性，严格遵循国家规范及绿建评价管控要求，规避严重不规则结构形式，保障建筑结构安全性、稳定性与耐久性，符合绿色建筑评价相关条款的合规性要求，可作为绿建评价申报的有效支撑文件。</w:t>
      </w:r>
      <w:bookmarkStart w:id="15" w:name="_GoBack"/>
      <w:bookmarkEnd w:id="15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9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11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4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7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5BA14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2026-03-24T09:47:00Z</dcterms:created>
  <dc:creator>Apache POI</dc:creator>
  <cp:lastModifiedBy>hp</cp:lastModifiedBy>
  <dcterms:modified xsi:type="dcterms:W3CDTF">2026-03-24T09:48:59Z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