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0" w:after="480" w:line="288" w:lineRule="auto"/>
        <w:ind w:left="0"/>
        <w:jc w:val="center"/>
      </w:pPr>
      <w:r>
        <w:rPr>
          <w:rFonts w:ascii="Arial" w:hAnsi="Arial" w:eastAsia="等线" w:cs="Arial"/>
          <w:b/>
          <w:sz w:val="52"/>
        </w:rPr>
        <w:t>建筑材料、预拌混凝土及预拌砂浆购销合同说明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编制单位</w:t>
      </w:r>
      <w:r>
        <w:rPr>
          <w:rFonts w:ascii="Arial" w:hAnsi="Arial" w:eastAsia="等线" w:cs="Arial"/>
          <w:sz w:val="22"/>
        </w:rPr>
        <w:t>：河南绿建工程设计有限公司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说明编号</w:t>
      </w:r>
      <w:r>
        <w:rPr>
          <w:rFonts w:ascii="Arial" w:hAnsi="Arial" w:eastAsia="等线" w:cs="Arial"/>
          <w:sz w:val="22"/>
        </w:rPr>
        <w:t>：LS-CL-2026-112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编制日期</w:t>
      </w:r>
      <w:r>
        <w:rPr>
          <w:rFonts w:ascii="Arial" w:hAnsi="Arial" w:eastAsia="等线" w:cs="Arial"/>
          <w:sz w:val="22"/>
        </w:rPr>
        <w:t>：2026年03月24日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适用阶段</w:t>
      </w:r>
      <w:r>
        <w:rPr>
          <w:rFonts w:ascii="Arial" w:hAnsi="Arial" w:eastAsia="等线" w:cs="Arial"/>
          <w:sz w:val="22"/>
        </w:rPr>
        <w:t>：绿色建筑评价申报阶段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编制人</w:t>
      </w:r>
      <w:r>
        <w:rPr>
          <w:rFonts w:ascii="Arial" w:hAnsi="Arial" w:eastAsia="等线" w:cs="Arial"/>
          <w:sz w:val="22"/>
        </w:rPr>
        <w:t>：赵工（材料工程师）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审核人</w:t>
      </w:r>
      <w:r>
        <w:rPr>
          <w:rFonts w:ascii="Arial" w:hAnsi="Arial" w:eastAsia="等线" w:cs="Arial"/>
          <w:sz w:val="22"/>
        </w:rPr>
        <w:t>：周工（高级工程师）</w:t>
      </w:r>
    </w:p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目 录</w:t>
      </w:r>
      <w:bookmarkEnd w:id="0"/>
    </w:p>
    <w:p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编制依据与项目概况</w:t>
      </w:r>
    </w:p>
    <w:p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绿建材料管控要求说明</w:t>
      </w:r>
    </w:p>
    <w:p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建筑材料本地化供应说明（500km范围内）</w:t>
      </w:r>
    </w:p>
    <w:p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预拌混凝土购销合同概况</w:t>
      </w:r>
    </w:p>
    <w:p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预拌砂浆购销合同概况</w:t>
      </w:r>
    </w:p>
    <w:p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主要建筑材料购销合同汇总</w:t>
      </w:r>
    </w:p>
    <w:p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绿建符合性判定结论</w:t>
      </w:r>
    </w:p>
    <w:p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附件清单与签字盖章页</w:t>
      </w:r>
    </w:p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80" w:after="140" w:line="288" w:lineRule="auto"/>
        <w:ind w:left="0"/>
        <w:jc w:val="left"/>
        <w:outlineLvl w:val="0"/>
      </w:pPr>
      <w:bookmarkStart w:id="1" w:name="heading_1"/>
      <w:r>
        <w:rPr>
          <w:rFonts w:ascii="Arial" w:hAnsi="Arial" w:eastAsia="等线" w:cs="Arial"/>
          <w:b/>
          <w:sz w:val="36"/>
        </w:rPr>
        <w:t>1 编制依据与项目概况</w:t>
      </w:r>
      <w:bookmarkEnd w:id="1"/>
    </w:p>
    <w:p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1.1 编制依据</w:t>
      </w:r>
      <w:bookmarkEnd w:id="2"/>
    </w:p>
    <w:p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《绿色建筑评价标准》GB/T 50378-2019</w:t>
      </w:r>
    </w:p>
    <w:p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《预拌混凝土》GB/T 14902-2022</w:t>
      </w:r>
    </w:p>
    <w:p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《预拌砂浆》GB/T 25181-2019</w:t>
      </w:r>
    </w:p>
    <w:p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本项目建筑、结构施工图纸及材料清单</w:t>
      </w:r>
    </w:p>
    <w:p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项目各类建筑材料、预拌混凝土、预拌砂浆正式购销合同</w:t>
      </w:r>
    </w:p>
    <w:p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河南省及驻马店市建材供应、绿色建材推广相关规定</w:t>
      </w:r>
    </w:p>
    <w:p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1.2 项目基础概况</w:t>
      </w:r>
      <w:bookmarkEnd w:id="3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00"/>
        <w:gridCol w:w="300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项目名称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辰光溯昔—基于豫南地区生态的博物馆绿色建筑设计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建设地点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河南省驻马店市驿城区练江大道与白桥路交叉口西南角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用地面积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36612 ㎡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总建筑面积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18209.2 ㎡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建筑性质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公共文化建筑（博物馆）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结构形式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钢筋混凝土框架结构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本说明针对项目建筑材料采购、预拌混凝土及预拌砂浆供应事宜，结合已签订的正式购销合同，专项佐证绿建材料管控条款合规性，所有数据均来源于合同原文、供货清单及重量核算台账，真实有效。</w:t>
      </w:r>
    </w:p>
    <w:p>
      <w:pPr>
        <w:spacing w:before="380" w:after="140" w:line="288" w:lineRule="auto"/>
        <w:ind w:left="0"/>
        <w:jc w:val="left"/>
        <w:outlineLvl w:val="0"/>
      </w:pPr>
      <w:bookmarkStart w:id="4" w:name="heading_4"/>
      <w:r>
        <w:rPr>
          <w:rFonts w:ascii="Arial" w:hAnsi="Arial" w:eastAsia="等线" w:cs="Arial"/>
          <w:b/>
          <w:sz w:val="36"/>
        </w:rPr>
        <w:t>2 绿建材料管控要求说明</w:t>
      </w:r>
      <w:bookmarkEnd w:id="4"/>
    </w:p>
    <w:tbl>
      <w:tblPr>
        <w:tblStyle w:val="2"/>
        <w:tblW w:w="0" w:type="auto"/>
        <w:tblInd w:w="0" w:type="dxa"/>
        <w:tblBorders>
          <w:top w:val="single" w:color="FED4A4" w:sz="0" w:space="0"/>
          <w:left w:val="single" w:color="FED4A4" w:sz="0" w:space="0"/>
          <w:bottom w:val="single" w:color="FED4A4" w:sz="0" w:space="0"/>
          <w:right w:val="single" w:color="FED4A4" w:sz="0" w:space="0"/>
          <w:insideH w:val="single" w:color="FED4A4" w:sz="0" w:space="0"/>
          <w:insideV w:val="single" w:color="FED4A4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>
        <w:tblPrEx>
          <w:tblBorders>
            <w:top w:val="single" w:color="FED4A4" w:sz="0" w:space="0"/>
            <w:left w:val="single" w:color="FED4A4" w:sz="0" w:space="0"/>
            <w:bottom w:val="single" w:color="FED4A4" w:sz="0" w:space="0"/>
            <w:right w:val="single" w:color="FED4A4" w:sz="0" w:space="0"/>
            <w:insideH w:val="single" w:color="FED4A4" w:sz="0" w:space="0"/>
            <w:insideV w:val="single" w:color="FED4A4" w:sz="0" w:space="0"/>
          </w:tblBorders>
        </w:tblPrEx>
        <w:tc>
          <w:tcPr>
            <w:tcW w:w="8280" w:type="dxa"/>
            <w:shd w:val="clear" w:color="auto" w:fill="FFF5EB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本项目严格执行《绿色建筑评价标准》材料管控强制性规定，核心要求如下：</w:t>
            </w:r>
          </w:p>
          <w:p>
            <w:pPr>
              <w:numPr>
                <w:ilvl w:val="0"/>
                <w:numId w:val="15"/>
              </w:num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本地化材料要求</w:t>
            </w:r>
            <w:r>
              <w:rPr>
                <w:rFonts w:ascii="Arial" w:hAnsi="Arial" w:eastAsia="等线" w:cs="Arial"/>
                <w:sz w:val="22"/>
              </w:rPr>
              <w:t>：500km以内生产的建筑材料重量占建筑材料总重量比例＞60%</w:t>
            </w:r>
          </w:p>
          <w:p>
            <w:pPr>
              <w:numPr>
                <w:ilvl w:val="0"/>
                <w:numId w:val="16"/>
              </w:num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预拌制品要求</w:t>
            </w:r>
            <w:r>
              <w:rPr>
                <w:rFonts w:ascii="Arial" w:hAnsi="Arial" w:eastAsia="等线" w:cs="Arial"/>
                <w:sz w:val="22"/>
              </w:rPr>
              <w:t>：现浇混凝土全部采用预拌混凝土，建筑砂浆全部采用预拌砂浆，禁止现场搅拌</w:t>
            </w:r>
          </w:p>
        </w:tc>
      </w:tr>
    </w:tbl>
    <w:p>
      <w:pPr>
        <w:spacing w:before="380" w:after="140" w:line="288" w:lineRule="auto"/>
        <w:ind w:left="0"/>
        <w:jc w:val="left"/>
        <w:outlineLvl w:val="0"/>
      </w:pPr>
      <w:bookmarkStart w:id="5" w:name="heading_5"/>
      <w:r>
        <w:rPr>
          <w:rFonts w:ascii="Arial" w:hAnsi="Arial" w:eastAsia="等线" w:cs="Arial"/>
          <w:b/>
          <w:sz w:val="36"/>
        </w:rPr>
        <w:t>3 建筑材料本地化供应说明（500km范围内）</w:t>
      </w:r>
      <w:bookmarkEnd w:id="5"/>
    </w:p>
    <w:p>
      <w:pPr>
        <w:spacing w:before="320" w:after="120" w:line="288" w:lineRule="auto"/>
        <w:ind w:left="0"/>
        <w:jc w:val="left"/>
        <w:outlineLvl w:val="1"/>
      </w:pPr>
      <w:bookmarkStart w:id="6" w:name="heading_6"/>
      <w:r>
        <w:rPr>
          <w:rFonts w:ascii="Arial" w:hAnsi="Arial" w:eastAsia="等线" w:cs="Arial"/>
          <w:b/>
          <w:sz w:val="32"/>
        </w:rPr>
        <w:t>3.1 本地化供应商范围界定</w:t>
      </w:r>
      <w:bookmarkEnd w:id="6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以项目建设地点（驻马店市驿城区）为圆心，500km半径范围内涵盖河南省全域及周边湖北、安徽部分地市，本项目主要建筑材料（钢材、水泥、砂石、砌块、保温材料、装饰板材等）均采购自该范围内正规生产企业，供货距离均满足≤500km要求。</w:t>
      </w:r>
    </w:p>
    <w:p>
      <w:pPr>
        <w:spacing w:before="320" w:after="120" w:line="288" w:lineRule="auto"/>
        <w:ind w:left="0"/>
        <w:jc w:val="left"/>
        <w:outlineLvl w:val="1"/>
      </w:pPr>
      <w:bookmarkStart w:id="7" w:name="heading_7"/>
      <w:r>
        <w:rPr>
          <w:rFonts w:ascii="Arial" w:hAnsi="Arial" w:eastAsia="等线" w:cs="Arial"/>
          <w:b/>
          <w:sz w:val="32"/>
        </w:rPr>
        <w:t>3.2 本地化材料重量核算</w:t>
      </w:r>
      <w:bookmarkEnd w:id="7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650"/>
        <w:gridCol w:w="1650"/>
        <w:gridCol w:w="1650"/>
        <w:gridCol w:w="165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材料类别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总采购重量（t）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500km内供应重量（t）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本地化占比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主要供应商及距离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钢筋/钢材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1286.32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1286.32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100%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安阳钢铁集团（距驻马店295km）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水泥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3268.56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3268.56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100%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驻马店天瑞水泥（距项目18km）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砂石骨料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5892.41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5892.41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100%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驻马店泌阳砂石厂（距项目42km）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加气混凝土砌块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865.23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865.23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100%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漯河建材科技公司（距项目76km）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保温/装饰材料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218.76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196.88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89.99%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郑州绿建建材厂（距项目210km）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合计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11531.28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11509.40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99.81%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全部满足本地化要求</w:t>
            </w:r>
          </w:p>
        </w:tc>
      </w:tr>
    </w:tbl>
    <w:p>
      <w:pPr>
        <w:spacing w:before="320" w:after="120" w:line="288" w:lineRule="auto"/>
        <w:ind w:left="0"/>
        <w:jc w:val="left"/>
        <w:outlineLvl w:val="1"/>
      </w:pPr>
      <w:bookmarkStart w:id="8" w:name="heading_8"/>
      <w:r>
        <w:rPr>
          <w:rFonts w:ascii="Arial" w:hAnsi="Arial" w:eastAsia="等线" w:cs="Arial"/>
          <w:b/>
          <w:sz w:val="32"/>
        </w:rPr>
        <w:t>3.3 本地化占比结论</w:t>
      </w:r>
      <w:bookmarkEnd w:id="8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经核算，本项目500km以内生产的建筑材料重量占比为</w:t>
      </w:r>
      <w:r>
        <w:rPr>
          <w:rFonts w:ascii="Arial" w:hAnsi="Arial" w:eastAsia="等线" w:cs="Arial"/>
          <w:b/>
          <w:sz w:val="22"/>
        </w:rPr>
        <w:t>99.81%</w:t>
      </w:r>
      <w:r>
        <w:rPr>
          <w:rFonts w:ascii="Arial" w:hAnsi="Arial" w:eastAsia="等线" w:cs="Arial"/>
          <w:sz w:val="22"/>
        </w:rPr>
        <w:t>，远大于绿建标准规定的60%限值，完全满足本地化材料管控要求。</w:t>
      </w:r>
    </w:p>
    <w:p>
      <w:pPr>
        <w:spacing w:before="380" w:after="140" w:line="288" w:lineRule="auto"/>
        <w:ind w:left="0"/>
        <w:jc w:val="left"/>
        <w:outlineLvl w:val="0"/>
      </w:pPr>
      <w:bookmarkStart w:id="9" w:name="heading_9"/>
      <w:r>
        <w:rPr>
          <w:rFonts w:ascii="Arial" w:hAnsi="Arial" w:eastAsia="等线" w:cs="Arial"/>
          <w:b/>
          <w:sz w:val="36"/>
        </w:rPr>
        <w:t>4 预拌混凝土购销合同概况</w:t>
      </w:r>
      <w:bookmarkEnd w:id="9"/>
    </w:p>
    <w:p>
      <w:pPr>
        <w:spacing w:before="320" w:after="120" w:line="288" w:lineRule="auto"/>
        <w:ind w:left="0"/>
        <w:jc w:val="left"/>
        <w:outlineLvl w:val="1"/>
      </w:pPr>
      <w:bookmarkStart w:id="10" w:name="heading_10"/>
      <w:r>
        <w:rPr>
          <w:rFonts w:ascii="Arial" w:hAnsi="Arial" w:eastAsia="等线" w:cs="Arial"/>
          <w:b/>
          <w:sz w:val="32"/>
        </w:rPr>
        <w:t>4.1 合同基本信息</w:t>
      </w:r>
      <w:bookmarkEnd w:id="10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00"/>
        <w:gridCol w:w="300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合同编号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HN-ZB-HNT-2025-086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采购方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河南辰光建设工程有限公司（总包单位）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供应方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驻马店恒基预拌混凝土有限公司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供货距离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距项目施工现场22km，≤500km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签订日期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2025年06月12日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供货范围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项目全部现浇混凝土工程（基础、梁、板、柱、楼梯等）</w:t>
            </w:r>
          </w:p>
        </w:tc>
      </w:tr>
    </w:tbl>
    <w:p>
      <w:pPr>
        <w:spacing w:before="320" w:after="120" w:line="288" w:lineRule="auto"/>
        <w:ind w:left="0"/>
        <w:jc w:val="left"/>
        <w:outlineLvl w:val="1"/>
      </w:pPr>
      <w:bookmarkStart w:id="11" w:name="heading_11"/>
      <w:r>
        <w:rPr>
          <w:rFonts w:ascii="Arial" w:hAnsi="Arial" w:eastAsia="等线" w:cs="Arial"/>
          <w:b/>
          <w:sz w:val="32"/>
        </w:rPr>
        <w:t>4.2 供货参数与总量</w:t>
      </w:r>
      <w:bookmarkEnd w:id="11"/>
    </w:p>
    <w:p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供应强度等级：C15、C20、C30、C35、C40（适配结构设计要求）</w:t>
      </w:r>
    </w:p>
    <w:p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总供货量：约8620.35m³，折合重量约21550.88t</w:t>
      </w:r>
    </w:p>
    <w:p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质量标准：符合《预拌混凝土》GB/T 14902-2022，附带出厂合格证、检测报告</w:t>
      </w:r>
    </w:p>
    <w:p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供货方式：专车泵送，现场直接浇筑，禁止现场搅拌、改性</w:t>
      </w:r>
    </w:p>
    <w:p>
      <w:pPr>
        <w:spacing w:before="320" w:after="120" w:line="288" w:lineRule="auto"/>
        <w:ind w:left="0"/>
        <w:jc w:val="left"/>
        <w:outlineLvl w:val="1"/>
      </w:pPr>
      <w:bookmarkStart w:id="12" w:name="heading_12"/>
      <w:r>
        <w:rPr>
          <w:rFonts w:ascii="Arial" w:hAnsi="Arial" w:eastAsia="等线" w:cs="Arial"/>
          <w:b/>
          <w:sz w:val="32"/>
        </w:rPr>
        <w:t>4.3 合同核心条款</w:t>
      </w:r>
      <w:bookmarkEnd w:id="12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合同明确约定供应方需提供完整的出厂检测报告、材料合格证，保证混凝土质量达标；采购方全程采用预拌混凝土施工，杜绝现场搅拌，所有现浇混凝土部位100%使用预拌制品，满足绿建管控要求。</w:t>
      </w:r>
    </w:p>
    <w:p>
      <w:pPr>
        <w:spacing w:before="380" w:after="140" w:line="288" w:lineRule="auto"/>
        <w:ind w:left="0"/>
        <w:jc w:val="left"/>
        <w:outlineLvl w:val="0"/>
      </w:pPr>
      <w:bookmarkStart w:id="13" w:name="heading_13"/>
      <w:r>
        <w:rPr>
          <w:rFonts w:ascii="Arial" w:hAnsi="Arial" w:eastAsia="等线" w:cs="Arial"/>
          <w:b/>
          <w:sz w:val="36"/>
        </w:rPr>
        <w:t>5 预拌砂浆购销合同概况</w:t>
      </w:r>
      <w:bookmarkEnd w:id="13"/>
    </w:p>
    <w:p>
      <w:pPr>
        <w:spacing w:before="320" w:after="120" w:line="288" w:lineRule="auto"/>
        <w:ind w:left="0"/>
        <w:jc w:val="left"/>
        <w:outlineLvl w:val="1"/>
      </w:pPr>
      <w:bookmarkStart w:id="14" w:name="heading_14"/>
      <w:r>
        <w:rPr>
          <w:rFonts w:ascii="Arial" w:hAnsi="Arial" w:eastAsia="等线" w:cs="Arial"/>
          <w:b/>
          <w:sz w:val="32"/>
        </w:rPr>
        <w:t>5.1 合同基本信息</w:t>
      </w:r>
      <w:bookmarkEnd w:id="14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00"/>
        <w:gridCol w:w="300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合同编号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HN-ZB-SHJ-2025-092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采购方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河南辰光建设工程有限公司（总包单位）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供应方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河南绿建预拌砂浆有限公司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供货距离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距项目施工现场36km，≤500km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签订日期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2025年07月05日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供货范围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项目全部砌筑砂浆、抹灰砂浆、地面砂浆</w:t>
            </w:r>
          </w:p>
        </w:tc>
      </w:tr>
    </w:tbl>
    <w:p>
      <w:pPr>
        <w:spacing w:before="320" w:after="120" w:line="288" w:lineRule="auto"/>
        <w:ind w:left="0"/>
        <w:jc w:val="left"/>
        <w:outlineLvl w:val="1"/>
      </w:pPr>
      <w:bookmarkStart w:id="15" w:name="heading_15"/>
      <w:r>
        <w:rPr>
          <w:rFonts w:ascii="Arial" w:hAnsi="Arial" w:eastAsia="等线" w:cs="Arial"/>
          <w:b/>
          <w:sz w:val="32"/>
        </w:rPr>
        <w:t>5.2 供货参数与总量</w:t>
      </w:r>
      <w:bookmarkEnd w:id="15"/>
    </w:p>
    <w:p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供应类型：砌筑砂浆M5、M7.5，抹灰砂浆M10，地面砂浆M15</w:t>
      </w:r>
    </w:p>
    <w:p>
      <w:pPr>
        <w:numPr>
          <w:ilvl w:val="0"/>
          <w:numId w:val="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总供货量：约1286.72t，干混预拌砂浆，现场直接加水使用</w:t>
      </w:r>
    </w:p>
    <w:p>
      <w:pPr>
        <w:numPr>
          <w:ilvl w:val="0"/>
          <w:numId w:val="2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质量标准：符合《预拌砂浆》GB/T 25181-2019，附带环保检测报告</w:t>
      </w:r>
    </w:p>
    <w:p>
      <w:pPr>
        <w:numPr>
          <w:ilvl w:val="0"/>
          <w:numId w:val="2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供货方式：袋装+散装结合，密闭运输，杜绝现场配料搅拌</w:t>
      </w:r>
    </w:p>
    <w:p>
      <w:pPr>
        <w:spacing w:before="320" w:after="120" w:line="288" w:lineRule="auto"/>
        <w:ind w:left="0"/>
        <w:jc w:val="left"/>
        <w:outlineLvl w:val="1"/>
      </w:pPr>
      <w:bookmarkStart w:id="16" w:name="heading_16"/>
      <w:r>
        <w:rPr>
          <w:rFonts w:ascii="Arial" w:hAnsi="Arial" w:eastAsia="等线" w:cs="Arial"/>
          <w:b/>
          <w:sz w:val="32"/>
        </w:rPr>
        <w:t>5.3 合同核心条款</w:t>
      </w:r>
      <w:bookmarkEnd w:id="16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合同明确约定本项目所有建筑砂浆均采用预拌制品，严禁现场人工搅拌；供应方保证砂浆环保性能、强度性能达标，提供全套质量证明文件，完全契合绿建评价要求。</w:t>
      </w:r>
    </w:p>
    <w:p>
      <w:pPr>
        <w:spacing w:before="380" w:after="140" w:line="288" w:lineRule="auto"/>
        <w:ind w:left="0"/>
        <w:jc w:val="left"/>
        <w:outlineLvl w:val="0"/>
      </w:pPr>
      <w:bookmarkStart w:id="17" w:name="heading_17"/>
      <w:r>
        <w:rPr>
          <w:rFonts w:ascii="Arial" w:hAnsi="Arial" w:eastAsia="等线" w:cs="Arial"/>
          <w:b/>
          <w:sz w:val="36"/>
        </w:rPr>
        <w:t>6 主要建筑材料购销合同汇总</w:t>
      </w:r>
      <w:bookmarkEnd w:id="17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650"/>
        <w:gridCol w:w="1650"/>
        <w:gridCol w:w="1650"/>
        <w:gridCol w:w="165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序号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合同名称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合同编号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供应单位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供货状态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钢筋采购合同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HN-ZB-GG-2025-042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安阳钢铁集团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已供货完毕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水泥采购合同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HN-ZB-SN-2025-051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驻马店天瑞水泥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已供货完毕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预拌混凝土购销合同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HN-ZB-HNT-2025-086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驻马店恒基商砼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供货中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预拌砂浆购销合同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HN-ZB-SHJ-2025-092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河南绿建砂浆公司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供货中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砌块/砂石采购合同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HN-ZB-PS-2025-067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泌阳砂石厂、漯河建材公司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已供货完毕</w:t>
            </w:r>
          </w:p>
        </w:tc>
      </w:tr>
    </w:tbl>
    <w:p>
      <w:pPr>
        <w:spacing w:before="380" w:after="140" w:line="288" w:lineRule="auto"/>
        <w:ind w:left="0"/>
        <w:jc w:val="left"/>
        <w:outlineLvl w:val="0"/>
      </w:pPr>
      <w:bookmarkStart w:id="18" w:name="heading_18"/>
      <w:r>
        <w:rPr>
          <w:rFonts w:ascii="Arial" w:hAnsi="Arial" w:eastAsia="等线" w:cs="Arial"/>
          <w:b/>
          <w:sz w:val="36"/>
        </w:rPr>
        <w:t>7 绿建符合性判定结论</w:t>
      </w:r>
      <w:bookmarkEnd w:id="18"/>
    </w:p>
    <w:tbl>
      <w:tblPr>
        <w:tblStyle w:val="2"/>
        <w:tblW w:w="0" w:type="auto"/>
        <w:tblInd w:w="0" w:type="dxa"/>
        <w:tblBorders>
          <w:top w:val="single" w:color="B7EDB1" w:sz="0" w:space="0"/>
          <w:left w:val="single" w:color="B7EDB1" w:sz="0" w:space="0"/>
          <w:bottom w:val="single" w:color="B7EDB1" w:sz="0" w:space="0"/>
          <w:right w:val="single" w:color="B7EDB1" w:sz="0" w:space="0"/>
          <w:insideH w:val="single" w:color="B7EDB1" w:sz="0" w:space="0"/>
          <w:insideV w:val="single" w:color="B7EDB1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>
        <w:tblPrEx>
          <w:tblBorders>
            <w:top w:val="single" w:color="B7EDB1" w:sz="0" w:space="0"/>
            <w:left w:val="single" w:color="B7EDB1" w:sz="0" w:space="0"/>
            <w:bottom w:val="single" w:color="B7EDB1" w:sz="0" w:space="0"/>
            <w:right w:val="single" w:color="B7EDB1" w:sz="0" w:space="0"/>
            <w:insideH w:val="single" w:color="B7EDB1" w:sz="0" w:space="0"/>
            <w:insideV w:val="single" w:color="B7EDB1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FF5EB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经核查项目各类购销合同及供货资料，本项目建筑材料管控完全符合《绿色建筑评价标准》GB/T 50378-2019相关规定：</w:t>
            </w:r>
          </w:p>
          <w:p>
            <w:pPr>
              <w:numPr>
                <w:ilvl w:val="0"/>
                <w:numId w:val="25"/>
              </w:num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500km以内生产的建筑材料重量占比达99.81%，远超＞60%的管控要求；</w:t>
            </w:r>
          </w:p>
          <w:p>
            <w:pPr>
              <w:numPr>
                <w:ilvl w:val="0"/>
                <w:numId w:val="26"/>
              </w:num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现浇混凝土100%采用预拌混凝土，建筑砂浆100%采用预拌砂浆，无现场搅拌行为；</w:t>
            </w:r>
          </w:p>
          <w:p>
            <w:pPr>
              <w:numPr>
                <w:ilvl w:val="0"/>
                <w:numId w:val="27"/>
              </w:num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所有材料供应均签订正式购销合同，质量证明文件齐全，合规性达标。</w:t>
            </w:r>
          </w:p>
        </w:tc>
      </w:tr>
    </w:tbl>
    <w:p>
      <w:pPr>
        <w:spacing w:before="120" w:after="120" w:line="288" w:lineRule="auto"/>
        <w:ind w:left="0"/>
        <w:jc w:val="left"/>
      </w:pPr>
      <w:bookmarkStart w:id="19" w:name="_GoBack"/>
      <w:bookmarkEnd w:id="19"/>
    </w:p>
    <w:sectPr>
      <w:headerReference r:id="rId3" w:type="default"/>
      <w:footerReference r:id="rId4" w:type="default"/>
      <w:pgSz w:w="11905" w:h="168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9C8AC8EF"/>
    <w:multiLevelType w:val="singleLevel"/>
    <w:tmpl w:val="9C8AC8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B0F1ACD9"/>
    <w:multiLevelType w:val="singleLevel"/>
    <w:tmpl w:val="B0F1ACD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B5E306ED"/>
    <w:multiLevelType w:val="singleLevel"/>
    <w:tmpl w:val="B5E306ED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4">
    <w:nsid w:val="BE923771"/>
    <w:multiLevelType w:val="singleLevel"/>
    <w:tmpl w:val="BE923771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BF205925"/>
    <w:multiLevelType w:val="singleLevel"/>
    <w:tmpl w:val="BF205925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6">
    <w:nsid w:val="C8879AEF"/>
    <w:multiLevelType w:val="singleLevel"/>
    <w:tmpl w:val="C8879A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CF092B84"/>
    <w:multiLevelType w:val="singleLevel"/>
    <w:tmpl w:val="CF092B8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8">
    <w:nsid w:val="D7F9FE59"/>
    <w:multiLevelType w:val="singleLevel"/>
    <w:tmpl w:val="D7F9FE5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DCBA6B53"/>
    <w:multiLevelType w:val="singleLevel"/>
    <w:tmpl w:val="DCBA6B5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F4B5D9F5"/>
    <w:multiLevelType w:val="singleLevel"/>
    <w:tmpl w:val="F4B5D9F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2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">
    <w:nsid w:val="03D62ECE"/>
    <w:multiLevelType w:val="singleLevel"/>
    <w:tmpl w:val="03D62ECE"/>
    <w:lvl w:ilvl="0" w:tentative="0">
      <w:start w:val="6"/>
      <w:numFmt w:val="decimal"/>
      <w:lvlText w:val="%1."/>
      <w:lvlJc w:val="left"/>
      <w:rPr>
        <w:color w:val="3370FF"/>
      </w:rPr>
    </w:lvl>
  </w:abstractNum>
  <w:abstractNum w:abstractNumId="14">
    <w:nsid w:val="0E640482"/>
    <w:multiLevelType w:val="singleLevel"/>
    <w:tmpl w:val="0E64048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5">
    <w:nsid w:val="2470EC97"/>
    <w:multiLevelType w:val="singleLevel"/>
    <w:tmpl w:val="2470EC9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6">
    <w:nsid w:val="25B654F3"/>
    <w:multiLevelType w:val="singleLevel"/>
    <w:tmpl w:val="25B654F3"/>
    <w:lvl w:ilvl="0" w:tentative="0">
      <w:start w:val="7"/>
      <w:numFmt w:val="decimal"/>
      <w:lvlText w:val="%1."/>
      <w:lvlJc w:val="left"/>
      <w:rPr>
        <w:color w:val="3370FF"/>
      </w:rPr>
    </w:lvl>
  </w:abstractNum>
  <w:abstractNum w:abstractNumId="17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8">
    <w:nsid w:val="46A08BB8"/>
    <w:multiLevelType w:val="singleLevel"/>
    <w:tmpl w:val="46A08BB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9">
    <w:nsid w:val="4C1BAE26"/>
    <w:multiLevelType w:val="singleLevel"/>
    <w:tmpl w:val="4C1BAE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0">
    <w:nsid w:val="4D4DC07F"/>
    <w:multiLevelType w:val="singleLevel"/>
    <w:tmpl w:val="4D4DC07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1">
    <w:nsid w:val="59ADCABA"/>
    <w:multiLevelType w:val="singleLevel"/>
    <w:tmpl w:val="59ADCABA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2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3">
    <w:nsid w:val="60382F6E"/>
    <w:multiLevelType w:val="singleLevel"/>
    <w:tmpl w:val="60382F6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4">
    <w:nsid w:val="72183CF9"/>
    <w:multiLevelType w:val="singleLevel"/>
    <w:tmpl w:val="72183CF9"/>
    <w:lvl w:ilvl="0" w:tentative="0">
      <w:start w:val="8"/>
      <w:numFmt w:val="decimal"/>
      <w:lvlText w:val="%1."/>
      <w:lvlJc w:val="left"/>
      <w:rPr>
        <w:color w:val="3370FF"/>
      </w:rPr>
    </w:lvl>
  </w:abstractNum>
  <w:abstractNum w:abstractNumId="25">
    <w:nsid w:val="77ECEA79"/>
    <w:multiLevelType w:val="singleLevel"/>
    <w:tmpl w:val="77ECEA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6">
    <w:nsid w:val="7C246926"/>
    <w:multiLevelType w:val="singleLevel"/>
    <w:tmpl w:val="7C246926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11"/>
  </w:num>
  <w:num w:numId="2">
    <w:abstractNumId w:val="7"/>
  </w:num>
  <w:num w:numId="3">
    <w:abstractNumId w:val="21"/>
  </w:num>
  <w:num w:numId="4">
    <w:abstractNumId w:val="5"/>
  </w:num>
  <w:num w:numId="5">
    <w:abstractNumId w:val="3"/>
  </w:num>
  <w:num w:numId="6">
    <w:abstractNumId w:val="13"/>
  </w:num>
  <w:num w:numId="7">
    <w:abstractNumId w:val="16"/>
  </w:num>
  <w:num w:numId="8">
    <w:abstractNumId w:val="24"/>
  </w:num>
  <w:num w:numId="9">
    <w:abstractNumId w:val="12"/>
  </w:num>
  <w:num w:numId="10">
    <w:abstractNumId w:val="0"/>
  </w:num>
  <w:num w:numId="11">
    <w:abstractNumId w:val="17"/>
  </w:num>
  <w:num w:numId="12">
    <w:abstractNumId w:val="22"/>
  </w:num>
  <w:num w:numId="13">
    <w:abstractNumId w:val="6"/>
  </w:num>
  <w:num w:numId="14">
    <w:abstractNumId w:val="20"/>
  </w:num>
  <w:num w:numId="15">
    <w:abstractNumId w:val="10"/>
  </w:num>
  <w:num w:numId="16">
    <w:abstractNumId w:val="15"/>
  </w:num>
  <w:num w:numId="17">
    <w:abstractNumId w:val="9"/>
  </w:num>
  <w:num w:numId="18">
    <w:abstractNumId w:val="8"/>
  </w:num>
  <w:num w:numId="19">
    <w:abstractNumId w:val="1"/>
  </w:num>
  <w:num w:numId="20">
    <w:abstractNumId w:val="19"/>
  </w:num>
  <w:num w:numId="21">
    <w:abstractNumId w:val="23"/>
  </w:num>
  <w:num w:numId="22">
    <w:abstractNumId w:val="14"/>
  </w:num>
  <w:num w:numId="23">
    <w:abstractNumId w:val="18"/>
  </w:num>
  <w:num w:numId="24">
    <w:abstractNumId w:val="2"/>
  </w:num>
  <w:num w:numId="25">
    <w:abstractNumId w:val="26"/>
  </w:num>
  <w:num w:numId="26">
    <w:abstractNumId w:val="25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14B719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Office_11.1.0.10009_F1E327BC-269C-435d-A152-05C5408002CA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2026-03-24T10:09:00Z</dcterms:created>
  <dc:creator>Apache POI</dc:creator>
  <cp:lastModifiedBy>hp</cp:lastModifiedBy>
  <dcterms:modified xsi:type="dcterms:W3CDTF">2026-03-24T10:10:22Z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