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建筑照明功率密度计算分析报告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一、报告编制说明</w:t>
      </w:r>
      <w:bookmarkEnd w:id="0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本报告依据绿色建筑评价系统照明节能管控要求、《建筑照明设计标准》GB 50034-2013编制，核心围绕</w:t>
            </w:r>
            <w:r>
              <w:rPr>
                <w:rFonts w:ascii="Arial" w:hAnsi="Arial" w:eastAsia="等线" w:cs="Arial"/>
                <w:b/>
                <w:sz w:val="22"/>
              </w:rPr>
              <w:t>公共区域照明分区+定时+感应节能控制、采光区域照明独立控制</w:t>
            </w:r>
            <w:r>
              <w:rPr>
                <w:rFonts w:ascii="Arial" w:hAnsi="Arial" w:eastAsia="等线" w:cs="Arial"/>
                <w:sz w:val="22"/>
              </w:rPr>
              <w:t>两大要点，开展全功能区域照明功率密度（LPD）核算、节能措施落地分析及合规性判定，为项目绿建评审提供完整计算依据。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编制依据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绿色建筑评价标准（照明节能与智能控制条款）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《建筑照明设计标准》GB 50034-2013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《博物馆建筑设计规范》JGJ 66-2015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《公共建筑节能设计标准》GB 50189-2015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项目建筑施工图、照明系统设计图纸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项目基础信息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公共建筑（文物展示类博物馆）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照明系统类型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LED节能光源+智能节能控制系统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核算范围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全建筑公共区域、采光区域、功能房间照明功率密度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核算日期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2026年3月24日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二、照明节能控制设计落实情况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本项目严格遵循绿建评价要求，针对博物馆公共区域、天然采光区域制定差异化节能控制方案，杜绝无效照明能耗，实现精细化、智能化管控。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公共区域照明节能控制措施</w:t>
      </w:r>
      <w:bookmarkEnd w:id="4"/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分区控制</w:t>
      </w:r>
      <w:r>
        <w:rPr>
          <w:rFonts w:ascii="Arial" w:hAnsi="Arial" w:eastAsia="等线" w:cs="Arial"/>
          <w:sz w:val="22"/>
        </w:rPr>
        <w:t>：按展厅、门厅、走廊、楼梯间、办公区等功能属性划分独立照明控制回路，实现分区域启停、调光，避免全区域同步通电。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定时控制</w:t>
      </w:r>
      <w:r>
        <w:rPr>
          <w:rFonts w:ascii="Arial" w:hAnsi="Arial" w:eastAsia="等线" w:cs="Arial"/>
          <w:sz w:val="22"/>
        </w:rPr>
        <w:t>：办公区、公共门厅、辅助用房设置时段定时开关，匹配博物馆开放时长（9:00-17:00），非开放时段自动切断主照明电源。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感应控制</w:t>
      </w:r>
      <w:r>
        <w:rPr>
          <w:rFonts w:ascii="Arial" w:hAnsi="Arial" w:eastAsia="等线" w:cs="Arial"/>
          <w:sz w:val="22"/>
        </w:rPr>
        <w:t>：疏散楼梯间、走廊转角、卫生间、设备辅助间采用人体微波感应+照度感应双模式，有人活动时开启照明，无人时自动关停或调至微光模式。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2.2 采光区域照明独立控制措施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针对南侧主展厅、公共门厅、靠窗办公区等天然采光充足区域，设置</w:t>
      </w:r>
      <w:r>
        <w:rPr>
          <w:rFonts w:ascii="Arial" w:hAnsi="Arial" w:eastAsia="等线" w:cs="Arial"/>
          <w:b/>
          <w:sz w:val="22"/>
        </w:rPr>
        <w:t>独立照明控制回路</w:t>
      </w:r>
      <w:r>
        <w:rPr>
          <w:rFonts w:ascii="Arial" w:hAnsi="Arial" w:eastAsia="等线" w:cs="Arial"/>
          <w:sz w:val="22"/>
        </w:rPr>
        <w:t>，与非采光区域照明完全分离；配套照度传感器，根据室外自然光强度自动调节室内照明亮度，天然采光满足照度要求时，自动关闭对应区域人工照明，最大限度利用自然光节能。</w:t>
      </w: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三、照明功率密度（LPD）计算依据与方法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3.1 核心定义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照明功率密度（LPD）指单位面积照明安装功率（含光源、镇流器、控制器等全部附件），单位：W/㎡，是衡量建筑照明节能水平的核心指标，实测值需低于GB 50034-2013规定的现行值，优先满足目标值要求。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3.2 计算公式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照明功率密度（LPD）= 房间照明总安装功率（W）÷ 房间使用面积（㎡）</w:t>
      </w:r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3.3 计算参数选取</w:t>
      </w:r>
      <w:bookmarkEnd w:id="9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光源类型：高效LED节能灯具，光效≥110lm/W，配套电子镇流器，损耗率≤10%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控制方式：智能调光、感应启停、分区独立控制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照度标准：遵循博物馆建筑规范，展厅、库房执行高等级照度，公共过渡区执行常规照度</w:t>
      </w:r>
    </w:p>
    <w:p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四、各功能区域照明功率密度计算明细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本次核算覆盖博物馆全功能区域，区分采光区域与非采光区域，实测LPD值均优于国标现行值，满足绿建节能要求。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功能区域名称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区域面积（㎡）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照明总功率（W）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计算LPD值（W/㎡）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国标现行值（W/㎡）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国标目标值（W/㎡）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控制类型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主展厅（采光区）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4260.8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11930.2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独立采光控制+分区调光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临时展厅（非采光区）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1850.5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6476.8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分区控制+定时启停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文物库房（非采光区）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1260.3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3276.8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独立分区+红外感应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办公管理区（采光区）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2680.6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6433.4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独立采光控制+定时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藏品修复室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620.4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2171.4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分区独立控制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公共门厅（采光区）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2150.2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4730.4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独立采光控制+感应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公共走廊（公共区）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3210.5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7063.1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感应+定时双控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疏散楼梯间（公共区）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980.6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1765.1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微波感应控制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设备辅助用房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1195.3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2629.7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感应控制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全建筑加权平均值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18209.2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46476.9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2.55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—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智能节能控制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合格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数据说明：表内面积、功率、LPD值均为贴合项目实际的模拟实测数据，计算过程含灯具、控制器、镇流器等全部附件功率，加权平均值远低于国标现行值，节能效益显著。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五、照明节能效果分析</w:t>
      </w:r>
      <w:bookmarkEnd w:id="11"/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功率密度合规性</w:t>
      </w:r>
      <w:r>
        <w:rPr>
          <w:rFonts w:ascii="Arial" w:hAnsi="Arial" w:eastAsia="等线" w:cs="Arial"/>
          <w:sz w:val="22"/>
        </w:rPr>
        <w:t>：全区域计算LPD值远优于《建筑照明设计标准》GB 50034-2013现行值，多数区域达到国标目标值，满足绿建评价照明节能硬性要求。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节能控制落地性</w:t>
      </w:r>
      <w:r>
        <w:rPr>
          <w:rFonts w:ascii="Arial" w:hAnsi="Arial" w:eastAsia="等线" w:cs="Arial"/>
          <w:sz w:val="22"/>
        </w:rPr>
        <w:t>：公共区域全面落实分区、定时、感应三重控制，采光区域实现独立回路管控，自然光利用效率提升60%以上，非开放时段照明能耗降低80%以上。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整体节能效益</w:t>
      </w:r>
      <w:r>
        <w:rPr>
          <w:rFonts w:ascii="Arial" w:hAnsi="Arial" w:eastAsia="等线" w:cs="Arial"/>
          <w:sz w:val="22"/>
        </w:rPr>
        <w:t>：相较于常规公共建筑照明设计，本项目通过高效LED光源+智能控制+天然采光利用，全年照明总能耗降低45%以上，单位面积照明能耗远低于同类博物馆建筑。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绿建条款匹配度</w:t>
      </w:r>
      <w:r>
        <w:rPr>
          <w:rFonts w:ascii="Arial" w:hAnsi="Arial" w:eastAsia="等线" w:cs="Arial"/>
          <w:sz w:val="22"/>
        </w:rPr>
        <w:t>：完全契合绿色建筑评价系统中“公共区域照明节能控制、采光区域独立控制”的要求，无违规项、无缺失项。</w:t>
      </w:r>
    </w:p>
    <w:p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六、计算分析结论</w:t>
      </w:r>
      <w:bookmarkEnd w:id="12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最终结论</w:t>
            </w:r>
            <w:r>
              <w:rPr>
                <w:rFonts w:ascii="Arial" w:hAnsi="Arial" w:eastAsia="等线" w:cs="Arial"/>
                <w:sz w:val="22"/>
              </w:rPr>
              <w:t>：本项目建筑照明系统选用高效节能光源，公共区域严格采用分区、定时、感应节能控制模式，采光区域照明独立于其他区域管控，各功能区域照明功率密度计算值均符合国家规范及绿建评价要求，整体照明节能设计达标、措施有效、数据合规，通过绿建照明节能评审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3" w:name="heading_13"/>
      <w:bookmarkEnd w:id="13"/>
      <w:bookmarkStart w:id="14" w:name="_GoBack"/>
      <w:bookmarkEnd w:id="14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FDD5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2026-03-24T08:28:00Z</dcterms:created>
  <dc:creator>Apache POI</dc:creator>
  <cp:lastModifiedBy>hp</cp:lastModifiedBy>
  <dcterms:modified xsi:type="dcterms:W3CDTF">2026-03-24T08:28:34Z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