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内部非结构构件及设备附属设施维修与管理记录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一、运维管理总则</w:t>
      </w:r>
      <w:bookmarkEnd w:id="0"/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项目基础信息</w:t>
      </w:r>
      <w:bookmarkEnd w:id="1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建筑层数</w:t>
      </w:r>
      <w:r>
        <w:rPr>
          <w:rFonts w:ascii="Arial" w:hAnsi="Arial" w:eastAsia="等线" w:cs="Arial"/>
          <w:sz w:val="22"/>
        </w:rPr>
        <w:t>：地上3层，局部设备夹层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运维管理单位</w:t>
      </w:r>
      <w:r>
        <w:rPr>
          <w:rFonts w:ascii="Arial" w:hAnsi="Arial" w:eastAsia="等线" w:cs="Arial"/>
          <w:sz w:val="22"/>
        </w:rPr>
        <w:t>：驻马店市城投物业服务有限公司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运维周期</w:t>
      </w:r>
      <w:r>
        <w:rPr>
          <w:rFonts w:ascii="Arial" w:hAnsi="Arial" w:eastAsia="等线" w:cs="Arial"/>
          <w:sz w:val="22"/>
        </w:rPr>
        <w:t>：2025年11月10日—2026年3月22日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管理范围</w:t>
      </w:r>
      <w:r>
        <w:rPr>
          <w:rFonts w:ascii="Arial" w:hAnsi="Arial" w:eastAsia="等线" w:cs="Arial"/>
          <w:sz w:val="22"/>
        </w:rPr>
        <w:t>：建筑内部非结构构件、设备及附属设施（含连接节点、锚固构件、减震限位装置）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管理依据</w:t>
      </w:r>
      <w:r>
        <w:rPr>
          <w:rFonts w:ascii="Arial" w:hAnsi="Arial" w:eastAsia="等线" w:cs="Arial"/>
          <w:sz w:val="22"/>
        </w:rPr>
        <w:t>：《绿色建筑评价标准》（GB/T 50378-2019）、《建筑抗震设计规范》（GB 50011-2010）、项目专项检测报告、设备运维手册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核心管理要求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为保障建筑内部非结构构件、设备及附属设施</w:t>
      </w:r>
      <w:r>
        <w:rPr>
          <w:rFonts w:ascii="Arial" w:hAnsi="Arial" w:eastAsia="等线" w:cs="Arial"/>
          <w:b/>
          <w:sz w:val="22"/>
        </w:rPr>
        <w:t>连接牢固、适应主体结构变形</w:t>
      </w:r>
      <w:r>
        <w:rPr>
          <w:rFonts w:ascii="Arial" w:hAnsi="Arial" w:eastAsia="等线" w:cs="Arial"/>
          <w:sz w:val="22"/>
        </w:rPr>
        <w:t>，本项目实行“定期巡检+专项排查+闭环维修”的全流程管控模式，重点核查连接节点牢固度、减震柔性装置有效性、锚固构件完好性，及时处置松动、变形、破损等隐患，确保设施在主体结构正常沉降、温差变形、轻微震动工况下稳定运行，全程留存检查、维修、复核记录，满足绿建评价安全耐久相关评审要求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二、定期检查记录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本次运维周期内，实行</w:t>
      </w:r>
      <w:r>
        <w:rPr>
          <w:rFonts w:ascii="Arial" w:hAnsi="Arial" w:eastAsia="等线" w:cs="Arial"/>
          <w:b/>
          <w:sz w:val="22"/>
        </w:rPr>
        <w:t>月度常规巡检+季度专项核查</w:t>
      </w:r>
      <w:r>
        <w:rPr>
          <w:rFonts w:ascii="Arial" w:hAnsi="Arial" w:eastAsia="等线" w:cs="Arial"/>
          <w:sz w:val="22"/>
        </w:rPr>
        <w:t>，巡检覆盖全区域内部构件、设备及附属设施，重点查验连接节点、锚固螺栓、减震装置、变形适应构造，检查结果实时登记、专人签字确认，关键部位留存影像资料备查。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检查日期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检查对象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检查核心内容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检查结果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检查人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2025.11.15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全品类内部构件、设备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连接节点牢固度、锚固螺栓松紧、减震装置完好性、变形适应构造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整体运行正常，连接无松动，减震限位装置完好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周明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季度首次专项排查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2025.12.12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吊顶龙骨、管道支吊架、栏杆扶手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吊杆紧固度、支吊架抗滑性、扶手焊接节点、防腐层完整性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1处吊顶吊杆轻微松动，栏杆扶手防腐层局部磨损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吴丽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月度常规巡检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2026.01.18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消防设备、空调风机、强弱电桥架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设备基础锚固、抗震支架限位、柔性连接密封性、运行稳定性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设备锚固牢固，桥架限位间隙合规，无共振、无移位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郑凯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冬季防冻抗震专项检查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2026.02.15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轻质隔墙、饰面板、展陈基座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隔墙板连接、饰面板挂件、基座减震垫、主体变形适应情况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饰面板1处挂件轻微移位，展陈基座减震垫无老化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冯雪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节后复工全面核查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2026.03.10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全范围设施及连接节点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维修整改复核、连接牢固度复测、变形适应性能终验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所有隐患整改完毕，连接牢固，变形适应能力达标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王健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运维周期终期验收检查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三、维修整改记录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针对定期检查发现的隐患，实行“即时登记、限时处置、复核销项”管理，维修过程严格遵循施工规范，重点保障连接牢固性与主体结构变形适应性，维修完成后专人复核验收，确保隐患彻底消除。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维修日期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故障部位/设施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问题描述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维修处置方案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维修结果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复核人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2025.12.16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二层展厅吊顶龙骨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1根吊顶膨胀吊杆松动，存在脱落隐患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紧固膨胀螺栓，加装防松垫片，复测吊杆承载力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吊杆牢固无松动，挠度符合规范，承载力达标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吴丽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2025.12.22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公共区域栏杆扶手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局部防腐层磨损，预埋件轻微锈蚀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打磨锈蚀部位，涂刷防锈漆+面漆各2遍，做好防护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防腐层修复完好，无锈蚀风险，连接节点稳固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周明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2026.02.18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三层墙面饰面板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1块干挂挂件移位，贴合不紧密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调整挂件位置，紧固化学锚栓，核查抗剪承载力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饰面板贴合严密，挂件牢固，抗剪性能达标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冯雪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2026.03.05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空调机房管道支吊架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U型抱箍轻微滑移，柔性连接胶圈老化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调整抱箍位置并紧固，更换老化橡胶密封圈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支吊架无滑移，柔性连接密封完好，适应变形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郑凯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2026.03.15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设备夹层强弱电桥架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抗震支架限位间隙偏大，轻微移位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调整限位挡板，缩小间隙至规范值，加固托架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限位间隙合规，桥架无移位，抗震性能达标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王健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四、运维保障措施</w:t>
      </w:r>
      <w:bookmarkEnd w:id="5"/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人员保障</w:t>
      </w:r>
      <w:r>
        <w:rPr>
          <w:rFonts w:ascii="Arial" w:hAnsi="Arial" w:eastAsia="等线" w:cs="Arial"/>
          <w:sz w:val="22"/>
        </w:rPr>
        <w:t>：配备专职运维人员3名，持证上岗，定期开展连接牢固度、变形适应构造专项培训，熟练掌握维修处置流程。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备件保障</w:t>
      </w:r>
      <w:r>
        <w:rPr>
          <w:rFonts w:ascii="Arial" w:hAnsi="Arial" w:eastAsia="等线" w:cs="Arial"/>
          <w:sz w:val="22"/>
        </w:rPr>
        <w:t>：储备膨胀螺栓、抗震挂件、减震垫、密封圈、防腐涂料等常用备件，确保故障维修即时响应、快速更换。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检修保障</w:t>
      </w:r>
      <w:r>
        <w:rPr>
          <w:rFonts w:ascii="Arial" w:hAnsi="Arial" w:eastAsia="等线" w:cs="Arial"/>
          <w:sz w:val="22"/>
        </w:rPr>
        <w:t>：所有内部构件、设备均预留检修空间，连接节点、减震装置便于拆卸检修，不破坏主体结构。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安全保障</w:t>
      </w:r>
      <w:r>
        <w:rPr>
          <w:rFonts w:ascii="Arial" w:hAnsi="Arial" w:eastAsia="等线" w:cs="Arial"/>
          <w:sz w:val="22"/>
        </w:rPr>
        <w:t>：定期复测锚固构件力学性能，检查抗震限位、柔性连接构造，确保设施始终适应主体结构变形，杜绝安全隐患。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五、综合管理评定结论</w:t>
      </w:r>
      <w:bookmarkEnd w:id="6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运维周期内，建筑内部非结构构件、设备及附属设施的定期检查记录、维修整改记录完整规范、可追溯；所有设施连接牢固，抗震限位、柔性连接等变形适应构造完好，维修整改后均复核合格，可有效适应主体结构正常沉降、温差及震动变形，无安全隐患，完全符合《绿色建筑评价标准》相关条款要求，运维管理评定为合格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7" w:name="heading_7"/>
      <w:bookmarkEnd w:id="7"/>
      <w:bookmarkStart w:id="8" w:name="_GoBack"/>
      <w:bookmarkEnd w:id="8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56D7B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2026-03-23T05:22:00Z</dcterms:created>
  <dc:creator>Apache POI</dc:creator>
  <cp:lastModifiedBy>hp</cp:lastModifiedBy>
  <dcterms:modified xsi:type="dcterms:W3CDTF">2026-03-23T05:22:55Z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