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项目名称：驻马店博物馆新馆建设工程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bookmarkStart w:id="0" w:name="_GoBack"/>
      <w:bookmarkEnd w:id="0"/>
      <w:r>
        <w:rPr>
          <w:rFonts w:ascii="宋体" w:eastAsia="宋体" w:cs="宋体"/>
          <w:b/>
          <w:i w:val="0"/>
          <w:spacing w:val="0"/>
          <w:sz w:val="28"/>
        </w:rPr>
        <w:t>一、项目基本情况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1. 项目名称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驻马店博物馆新馆建设工程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2. 项目地点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河南省驻马店市[请插入具体区域，如：驿城区金顶山路与淮河大道交叉口西南侧]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3. 建筑规模与性质</w:t>
      </w:r>
    </w:p>
    <w:p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总建筑面积</w:t>
      </w:r>
      <w:r>
        <w:rPr>
          <w:rFonts w:ascii="宋体" w:eastAsia="宋体" w:cs="宋体"/>
          <w:b w:val="0"/>
          <w:i w:val="0"/>
          <w:spacing w:val="0"/>
          <w:sz w:val="24"/>
        </w:rPr>
        <w:t>：约35000平方米（地上建筑面积约25000平方米，地下建筑面积约10000平方米）。</w:t>
      </w:r>
    </w:p>
    <w:p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建筑层数</w:t>
      </w:r>
      <w:r>
        <w:rPr>
          <w:rFonts w:ascii="宋体" w:eastAsia="宋体" w:cs="宋体"/>
          <w:b w:val="0"/>
          <w:i w:val="0"/>
          <w:spacing w:val="0"/>
          <w:sz w:val="24"/>
        </w:rPr>
        <w:t>：地上4层，地下1层。</w:t>
      </w:r>
    </w:p>
    <w:p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建筑高度</w:t>
      </w:r>
      <w:r>
        <w:rPr>
          <w:rFonts w:ascii="宋体" w:eastAsia="宋体" w:cs="宋体"/>
          <w:b w:val="0"/>
          <w:i w:val="0"/>
          <w:spacing w:val="0"/>
          <w:sz w:val="24"/>
        </w:rPr>
        <w:t>：23.6米（建筑檐口高度）。</w:t>
      </w:r>
    </w:p>
    <w:p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建筑性质</w:t>
      </w:r>
      <w:r>
        <w:rPr>
          <w:rFonts w:ascii="宋体" w:eastAsia="宋体" w:cs="宋体"/>
          <w:b w:val="0"/>
          <w:i w:val="0"/>
          <w:spacing w:val="0"/>
          <w:sz w:val="24"/>
        </w:rPr>
        <w:t>：大型公共建筑，集文物收藏、展览展示、科学研究、社会教育于一体的现代化综合性博物馆。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4. 结构形式</w:t>
      </w:r>
    </w:p>
    <w:p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主体结构</w:t>
      </w:r>
      <w:r>
        <w:rPr>
          <w:rFonts w:ascii="宋体" w:eastAsia="宋体" w:cs="宋体"/>
          <w:b w:val="0"/>
          <w:i w:val="0"/>
          <w:spacing w:val="0"/>
          <w:sz w:val="24"/>
        </w:rPr>
        <w:t>：钢筋混凝土框架结构（局部大跨度区域采用钢桁架结构）。</w:t>
      </w:r>
    </w:p>
    <w:p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基础形式</w:t>
      </w:r>
      <w:r>
        <w:rPr>
          <w:rFonts w:ascii="宋体" w:eastAsia="宋体" w:cs="宋体"/>
          <w:b w:val="0"/>
          <w:i w:val="0"/>
          <w:spacing w:val="0"/>
          <w:sz w:val="24"/>
        </w:rPr>
        <w:t>：桩基础（混凝土灌注桩）。</w:t>
      </w:r>
    </w:p>
    <w:p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抗震设防烈度</w:t>
      </w:r>
      <w:r>
        <w:rPr>
          <w:rFonts w:ascii="宋体" w:eastAsia="宋体" w:cs="宋体"/>
          <w:b w:val="0"/>
          <w:i w:val="0"/>
          <w:spacing w:val="0"/>
          <w:sz w:val="24"/>
        </w:rPr>
        <w:t>：7度（0.15g），设计地震分组为第二组。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5. 主要功能分区</w:t>
      </w:r>
    </w:p>
    <w:p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陈列展览区</w:t>
      </w:r>
      <w:r>
        <w:rPr>
          <w:rFonts w:ascii="宋体" w:eastAsia="宋体" w:cs="宋体"/>
          <w:b w:val="0"/>
          <w:i w:val="0"/>
          <w:spacing w:val="0"/>
          <w:sz w:val="24"/>
        </w:rPr>
        <w:t>：包括基本陈列厅、专题展厅、临时展厅等，面积约12000平方米。</w:t>
      </w:r>
    </w:p>
    <w:p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藏品库房区</w:t>
      </w:r>
      <w:r>
        <w:rPr>
          <w:rFonts w:ascii="宋体" w:eastAsia="宋体" w:cs="宋体"/>
          <w:b w:val="0"/>
          <w:i w:val="0"/>
          <w:spacing w:val="0"/>
          <w:sz w:val="24"/>
        </w:rPr>
        <w:t>：包括珍贵文物库、一般文物库、暂存库等，面积约3000平方米。</w:t>
      </w:r>
    </w:p>
    <w:p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公共服务区</w:t>
      </w:r>
      <w:r>
        <w:rPr>
          <w:rFonts w:ascii="宋体" w:eastAsia="宋体" w:cs="宋体"/>
          <w:b w:val="0"/>
          <w:i w:val="0"/>
          <w:spacing w:val="0"/>
          <w:sz w:val="24"/>
        </w:rPr>
        <w:t>：包括门厅、报告厅、文创商店、观众餐厅等，面积约8000平方米。</w:t>
      </w:r>
    </w:p>
    <w:p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业务科研区</w:t>
      </w:r>
      <w:r>
        <w:rPr>
          <w:rFonts w:ascii="宋体" w:eastAsia="宋体" w:cs="宋体"/>
          <w:b w:val="0"/>
          <w:i w:val="0"/>
          <w:spacing w:val="0"/>
          <w:sz w:val="24"/>
        </w:rPr>
        <w:t>：包括文物保护实验室、修复工作室、资料室等，面积约4000平方米。</w:t>
      </w:r>
    </w:p>
    <w:p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行政管理及设备用房</w:t>
      </w:r>
      <w:r>
        <w:rPr>
          <w:rFonts w:ascii="宋体" w:eastAsia="宋体" w:cs="宋体"/>
          <w:b w:val="0"/>
          <w:i w:val="0"/>
          <w:spacing w:val="0"/>
          <w:sz w:val="24"/>
        </w:rPr>
        <w:t>：面积约8000平方米。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eastAsia="宋体" w:cs="宋体"/>
          <w:b/>
          <w:i w:val="0"/>
          <w:spacing w:val="0"/>
          <w:sz w:val="28"/>
        </w:rPr>
        <w:t>二、建设标准与技术指标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1. 绿色建筑标准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本项目按照《绿色建筑评价标准》（GB/T 50378-2019）[请插入具体星级，如：二星级]标准进行设计与建造，旨在实现节能、节地、节水、节材和环境保护的目标。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2. 节能环保措施</w:t>
      </w:r>
    </w:p>
    <w:p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围护结构</w:t>
      </w:r>
      <w:r>
        <w:rPr>
          <w:rFonts w:ascii="宋体" w:eastAsia="宋体" w:cs="宋体"/>
          <w:b w:val="0"/>
          <w:i w:val="0"/>
          <w:spacing w:val="0"/>
          <w:sz w:val="24"/>
        </w:rPr>
        <w:t>：外墙采用保温装饰一体化板，屋面采用倒置式保温屋面，外窗采用断桥铝合金Low-E中空玻璃窗，传热系数满足节能设计标准。</w:t>
      </w:r>
    </w:p>
    <w:p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空调系统</w:t>
      </w:r>
      <w:r>
        <w:rPr>
          <w:rFonts w:ascii="宋体" w:eastAsia="宋体" w:cs="宋体"/>
          <w:b w:val="0"/>
          <w:i w:val="0"/>
          <w:spacing w:val="0"/>
          <w:sz w:val="24"/>
        </w:rPr>
        <w:t>：采用高效变频多联机空调系统，结合地源热泵技术，提高能源利用效率。</w:t>
      </w:r>
    </w:p>
    <w:p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照明系统</w:t>
      </w:r>
      <w:r>
        <w:rPr>
          <w:rFonts w:ascii="宋体" w:eastAsia="宋体" w:cs="宋体"/>
          <w:b w:val="0"/>
          <w:i w:val="0"/>
          <w:spacing w:val="0"/>
          <w:sz w:val="24"/>
        </w:rPr>
        <w:t>：公共区域采用智能照明控制系统，展厅采用高显色性LED灯具，满足文物照度要求。</w:t>
      </w:r>
    </w:p>
    <w:p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可再生能源利用</w:t>
      </w:r>
      <w:r>
        <w:rPr>
          <w:rFonts w:ascii="宋体" w:eastAsia="宋体" w:cs="宋体"/>
          <w:b w:val="0"/>
          <w:i w:val="0"/>
          <w:spacing w:val="0"/>
          <w:sz w:val="24"/>
        </w:rPr>
        <w:t>：屋面设置太阳能光伏系统，提供部分公共区域照明用电。</w:t>
      </w:r>
    </w:p>
    <w:p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雨水回收利用</w:t>
      </w:r>
      <w:r>
        <w:rPr>
          <w:rFonts w:ascii="宋体" w:eastAsia="宋体" w:cs="宋体"/>
          <w:b w:val="0"/>
          <w:i w:val="0"/>
          <w:spacing w:val="0"/>
          <w:sz w:val="24"/>
        </w:rPr>
        <w:t>：设置雨水收集回用系统，用于绿化浇灌和道路冲洗。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3. 装饰装修标准</w:t>
      </w:r>
    </w:p>
    <w:p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外立面</w:t>
      </w:r>
      <w:r>
        <w:rPr>
          <w:rFonts w:ascii="宋体" w:eastAsia="宋体" w:cs="宋体"/>
          <w:b w:val="0"/>
          <w:i w:val="0"/>
          <w:spacing w:val="0"/>
          <w:sz w:val="24"/>
        </w:rPr>
        <w:t>：以石材幕墙和玻璃幕墙为主，体现庄重、典雅的建筑风格。</w:t>
      </w:r>
    </w:p>
    <w:p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室内装修</w:t>
      </w:r>
      <w:r>
        <w:rPr>
          <w:rFonts w:ascii="宋体" w:eastAsia="宋体" w:cs="宋体"/>
          <w:b w:val="0"/>
          <w:i w:val="0"/>
          <w:spacing w:val="0"/>
          <w:sz w:val="24"/>
        </w:rPr>
        <w:t>：公共区域地面采用花岗岩或防滑地砖，墙面采用乳胶漆或石材干挂，顶棚采用矿棉板或铝扣板吊顶；展厅地面采用防静电架空地板或地毯，墙面采用吸音板或软包，顶棚采用吸音板吊顶。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eastAsia="宋体" w:cs="宋体"/>
          <w:b/>
          <w:i w:val="0"/>
          <w:spacing w:val="0"/>
          <w:sz w:val="28"/>
        </w:rPr>
        <w:t>三、质量目标与保险责任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1. 质量目标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本项目质量目标为确保“中州杯”（河南省优质工程奖），争创“鲁班奖”（国家优质工程奖）。所有分部分项工程一次验收合格率100%，观感质量优良，技术资料齐全。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2. 保险责任范围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本保险产品覆盖因工程质量潜在缺陷导致的建筑物损坏，包括但不限于：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地基与基础工程</w:t>
      </w:r>
      <w:r>
        <w:rPr>
          <w:rFonts w:ascii="宋体" w:eastAsia="宋体" w:cs="宋体"/>
          <w:b w:val="0"/>
          <w:i w:val="0"/>
          <w:spacing w:val="0"/>
          <w:sz w:val="24"/>
        </w:rPr>
        <w:t>：不均匀沉降、开裂等。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主体结构工程</w:t>
      </w:r>
      <w:r>
        <w:rPr>
          <w:rFonts w:ascii="宋体" w:eastAsia="宋体" w:cs="宋体"/>
          <w:b w:val="0"/>
          <w:i w:val="0"/>
          <w:spacing w:val="0"/>
          <w:sz w:val="24"/>
        </w:rPr>
        <w:t>：梁、板、柱开裂、变形、钢筋锈蚀等。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围护结构工程</w:t>
      </w:r>
      <w:r>
        <w:rPr>
          <w:rFonts w:ascii="宋体" w:eastAsia="宋体" w:cs="宋体"/>
          <w:b w:val="0"/>
          <w:i w:val="0"/>
          <w:spacing w:val="0"/>
          <w:sz w:val="24"/>
        </w:rPr>
        <w:t>：外墙渗漏、保温层脱落等。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装饰装修工程</w:t>
      </w:r>
      <w:r>
        <w:rPr>
          <w:rFonts w:ascii="宋体" w:eastAsia="宋体" w:cs="宋体"/>
          <w:b w:val="0"/>
          <w:i w:val="0"/>
          <w:spacing w:val="0"/>
          <w:sz w:val="24"/>
        </w:rPr>
        <w:t>：大面积空鼓、脱落等。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屋面防水工程</w:t>
      </w:r>
      <w:r>
        <w:rPr>
          <w:rFonts w:ascii="宋体" w:eastAsia="宋体" w:cs="宋体"/>
          <w:b w:val="0"/>
          <w:i w:val="0"/>
          <w:spacing w:val="0"/>
          <w:sz w:val="24"/>
        </w:rPr>
        <w:t>：渗漏等。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给排水及采暖工程</w:t>
      </w:r>
      <w:r>
        <w:rPr>
          <w:rFonts w:ascii="宋体" w:eastAsia="宋体" w:cs="宋体"/>
          <w:b w:val="0"/>
          <w:i w:val="0"/>
          <w:spacing w:val="0"/>
          <w:sz w:val="24"/>
        </w:rPr>
        <w:t>：管道破裂、渗漏等。</w:t>
      </w:r>
    </w:p>
    <w:p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电气工程</w:t>
      </w:r>
      <w:r>
        <w:rPr>
          <w:rFonts w:ascii="宋体" w:eastAsia="宋体" w:cs="宋体"/>
          <w:b w:val="0"/>
          <w:i w:val="0"/>
          <w:spacing w:val="0"/>
          <w:sz w:val="24"/>
        </w:rPr>
        <w:t>：线路故障、设备损坏等。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3. 保险期限</w:t>
      </w:r>
    </w:p>
    <w:p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地基与基础、主体结构工程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：[请插入具体年限，如：10年]。</w:t>
      </w:r>
    </w:p>
    <w:p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防水、保温、装饰装修等工程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：[请插入具体年限，如：5年]。</w:t>
      </w:r>
    </w:p>
    <w:p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电气、给排水等设备安装工程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：[请插入具体年限，如：2年]。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eastAsia="宋体" w:cs="宋体"/>
          <w:b/>
          <w:i w:val="0"/>
          <w:spacing w:val="0"/>
          <w:sz w:val="28"/>
        </w:rPr>
        <w:t>四、参建单位概况</w:t>
      </w:r>
    </w:p>
    <w:p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建设单位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：[请插入建设单位名称]</w:t>
      </w:r>
    </w:p>
    <w:p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设计单位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：[请插入设计单位名称]</w:t>
      </w:r>
    </w:p>
    <w:p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施工单位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：[请插入施工单位名称]</w:t>
      </w:r>
    </w:p>
    <w:p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监理单位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：[请插入监理单位名称]</w:t>
      </w:r>
    </w:p>
    <w:p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勘察单位</w:t>
      </w:r>
      <w:r>
        <w:rPr>
          <w:rFonts w:ascii="宋体" w:eastAsia="宋体" w:cs="宋体"/>
          <w:b w:val="0"/>
          <w:i w:val="0"/>
          <w:spacing w:val="0"/>
          <w:sz w:val="24"/>
        </w:rPr>
        <w:t>：[请插入勘察单位名称]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eastAsia="宋体" w:cs="宋体"/>
          <w:b/>
          <w:i w:val="0"/>
          <w:spacing w:val="0"/>
          <w:sz w:val="28"/>
        </w:rPr>
        <w:t>五、其他说明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本项目已通过相关部门的规划、消防、环保等专项审批，施工过程中严格执行国家及地方现行的工程建设标准、规范及强制性条文，确保工程质量符合设计要求和使用功能。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本说明作为建设工程质量保险产品保单的重要组成部分，与保单具有同等法律效力。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投保人（盖章）：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被保险人（盖章）：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日期：[请插入日期]</w:t>
      </w:r>
    </w:p>
    <w:p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eastAsia="宋体" w:cs="宋体"/>
          <w:b/>
          <w:i w:val="0"/>
          <w:spacing w:val="0"/>
          <w:sz w:val="24"/>
        </w:rPr>
        <w:t>注意事项</w:t>
      </w:r>
      <w:r>
        <w:rPr>
          <w:rFonts w:ascii="宋体" w:eastAsia="宋体" w:cs="宋体"/>
          <w:b w:val="0"/>
          <w:i w:val="0"/>
          <w:spacing w:val="0"/>
          <w:sz w:val="24"/>
        </w:rPr>
        <w:t>：</w:t>
      </w:r>
    </w:p>
    <w:p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请将方括号内的内容替换为实际数据。</w:t>
      </w:r>
    </w:p>
    <w:p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如有特殊工艺或技术要求，可在此基础上补充。</w:t>
      </w:r>
    </w:p>
    <w:p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eastAsia="宋体" w:cs="宋体"/>
          <w:b w:val="0"/>
          <w:i w:val="0"/>
          <w:spacing w:val="0"/>
          <w:sz w:val="24"/>
        </w:rPr>
        <w:t>建议附上项目总平面图、主要立面图及典型剖面图作为附件。</w:t>
      </w:r>
    </w:p>
    <w:sectPr>
      <w:headerReference w:type="default" r:id="rId2"/>
      <w:footerReference w:type="default" r:id="rId3"/>
      <w:pgSz w:w="11900" w:h="15840"/>
      <w:pgMar w:top="1440" w:right="1800" w:bottom="1440" w:left="180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tmpl w:val="00000000"/>
    <w:lvl w:ilvl="0">
      <w:start w:val="1"/>
      <w:numFmt w:val="bullet"/>
      <w:lvlRestart w:val="0"/>
      <w:lvlText w:val="•"/>
      <w:legacy w:legacy="1" w:legacySpace="0" w:legacyIndent="440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egacy w:legacy="1" w:legacySpace="0" w:legacyIndent="440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egacy w:legacy="1" w:legacySpace="0" w:legacyIndent="440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egacy w:legacy="1" w:legacySpace="0" w:legacyIndent="440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egacy w:legacy="1" w:legacySpace="0" w:legacyIndent="440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egacy w:legacy="1" w:legacySpace="0" w:legacyIndent="440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egacy w:legacy="1" w:legacySpace="0" w:legacyIndent="440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egacy w:legacy="1" w:legacySpace="0" w:legacyIndent="440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egacy w:legacy="1" w:legacySpace="0" w:legacyIndent="440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2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Droid Sans Fallback" w:eastAsia="Noto Sans CJK SC" w:hAnsi="Droid Sans Fallback"/>
      <w:kern w:val="2"/>
      <w:sz w:val="21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4</Pages>
  <Words>1545</Words>
  <Characters>1613</Characters>
  <Lines>84</Lines>
  <Paragraphs>65</Paragraphs>
  <CharactersWithSpaces>1663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modified xsi:type="dcterms:W3CDTF">2026-03-28T14:57:01Z</dcterms:modified>
</cp:coreProperties>
</file>