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建筑节能审查专项说明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——驻马店市驿城区建筑节能施工图审查配套文件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驻马店市文旅建设发展有限公司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河南豫南建筑设计研究院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建筑层数/高度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地上3层，建筑高度15.3m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框架结构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气候区划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寒冷B区（豫南温带季风气候）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建筑分类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中型公共文化建筑（博物馆）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二、节能审查依据文件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《建筑节能与可再生能源利用通用规范》GB 55015-2021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《民用建筑热工设计规范》GB 50176-2016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50189-2015（2019年版）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50378-2019（2024版）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《河南省公共建筑节能设计标准》DBJ41/075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《河南省绿色建筑条例》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驻马店市建筑节能施工图审查管理办法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项目建筑施工图、节能计算书、幕墙热工计算书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三、建筑节能设计符合性说明</w:t>
      </w:r>
      <w:bookmarkEnd w:id="2"/>
    </w:p>
    <w:p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3.1体形与平面布局节能设计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本项目结合场地自然条件与博物馆藏品保管、展览功能需求，优化建筑体形与平面布局，严控能耗核心指标：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体形系数</w:t>
      </w:r>
      <w:r>
        <w:rPr>
          <w:rFonts w:ascii="Arial" w:hAnsi="Arial" w:eastAsia="等线" w:cs="Arial"/>
          <w:sz w:val="22"/>
        </w:rPr>
        <w:t>：经核算为</w:t>
      </w:r>
      <w:r>
        <w:rPr>
          <w:rFonts w:ascii="Arial" w:hAnsi="Arial" w:eastAsia="等线" w:cs="Arial"/>
          <w:b/>
          <w:sz w:val="22"/>
        </w:rPr>
        <w:t>0.23</w:t>
      </w:r>
      <w:r>
        <w:rPr>
          <w:rFonts w:ascii="Arial" w:hAnsi="Arial" w:eastAsia="等线" w:cs="Arial"/>
          <w:sz w:val="22"/>
        </w:rPr>
        <w:t>，远低于寒冷B区公共建筑≤0.40的规范限值，减小建筑散热面积，降低供暖空调能耗。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朝向布局</w:t>
      </w:r>
      <w:r>
        <w:rPr>
          <w:rFonts w:ascii="Arial" w:hAnsi="Arial" w:eastAsia="等线" w:cs="Arial"/>
          <w:sz w:val="22"/>
        </w:rPr>
        <w:t>：主体建筑呈南北向布置，核心展厅优先南向，最大化利用冬季太阳辐射得热，减少北向冷风渗透；辅助用房、藏品库布置于北侧，形成保温缓冲带。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空间尺度</w:t>
      </w:r>
      <w:r>
        <w:rPr>
          <w:rFonts w:ascii="Arial" w:hAnsi="Arial" w:eastAsia="等线" w:cs="Arial"/>
          <w:sz w:val="22"/>
        </w:rPr>
        <w:t>：展厅标准层高4.5m，公共空间层高5.1m，控制建筑进深≤12m，保障自然通风与采光效率，避免空间浪费导致能耗增加。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窗墙面积比</w:t>
      </w:r>
      <w:r>
        <w:rPr>
          <w:rFonts w:ascii="Arial" w:hAnsi="Arial" w:eastAsia="等线" w:cs="Arial"/>
          <w:sz w:val="22"/>
        </w:rPr>
        <w:t>：南向0.35、北向0.21、东西向0.19，均符合河南省公共建筑节能设计标准限值，平衡采光与保温隔热需求。</w:t>
      </w:r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3.2围护结构热工性能设计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围护结构各项热工指标均满足国家及河南省节能强制性要求，杜绝结露、冷凝隐患，具体参数如下：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围护部位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设计传热系数K[W/(㎡·K)]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规范限值[W/(㎡·K)]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合规性判定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屋面（倒置式保温）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外墙（岩棉外保温）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断热铝合金幕墙（Low-E中空）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外窗（同幕墙）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</w:tbl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结露冷凝控制</w:t>
      </w:r>
      <w:r>
        <w:rPr>
          <w:rFonts w:ascii="Arial" w:hAnsi="Arial" w:eastAsia="等线" w:cs="Arial"/>
          <w:sz w:val="22"/>
        </w:rPr>
        <w:t>：室内设计温度18℃、相对湿度60%工况下，非透光围护结构内表面温度＞露点温度（8.3℃），无结露；屋面、外墙内部蒸汽渗透阻达标，无冷凝现象。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遮阳隔热控制</w:t>
      </w:r>
      <w:r>
        <w:rPr>
          <w:rFonts w:ascii="Arial" w:hAnsi="Arial" w:eastAsia="等线" w:cs="Arial"/>
          <w:sz w:val="22"/>
        </w:rPr>
        <w:t>：透光围护结构太阳得热系数×夏季遮阳系数=0.41，满足GB 50176-2016≤0.44的限值要求，夏季隔热效果达标。</w:t>
      </w:r>
    </w:p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3.3节能设备与系统设计</w:t>
      </w:r>
      <w:bookmarkEnd w:id="5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暖通系统：选用一级能效空气源热泵机组，适配寒冷B区气候，变频调控降低能耗，供暖空调系统综合能效比提升20%。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照明系统：全部采用LED节能灯具，照明功率密度≤5W/㎡，低于规范限值，搭配自然光感应控制，减少无效能耗。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通风系统：设置变频风机，过渡季节启用自然通风，机械通风与自然通风联动，降低风机能耗。</w:t>
      </w:r>
    </w:p>
    <w:p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3.4可再生能源利用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屋面布置分布式光伏发电系统，装机容量120kW，年发电量约11万kWh，优先用于建筑照明、通风等公共用电，可再生能源利用率满足河南省绿色建筑节能要求。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四、节能专项审查结论</w:t>
      </w:r>
      <w:bookmarkEnd w:id="7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辰光溯昔博物馆，严格按照国家、河南省及驻马店市建筑节能相关规范开展设计，结合场地自然条件与博物馆功能需求，对建筑体形、平面布局、空间尺度、围护结构、设备系统进行全方位节能优化，各项指标均满足节能强制性条文及绿建评价要求，</w:t>
            </w:r>
            <w:r>
              <w:rPr>
                <w:rFonts w:ascii="Arial" w:hAnsi="Arial" w:eastAsia="等线" w:cs="Arial"/>
                <w:b/>
                <w:sz w:val="22"/>
              </w:rPr>
              <w:t>同意通过建筑节能专项审查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8" w:name="_GoBack"/>
      <w:bookmarkEnd w:id="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0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2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E5B7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2026-03-23T11:19:00Z</dcterms:created>
  <dc:creator>Apache POI</dc:creator>
  <cp:lastModifiedBy>hp</cp:lastModifiedBy>
  <dcterms:modified xsi:type="dcterms:W3CDTF">2026-03-23T11:20:37Z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