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驻马店博物馆绿建评价日照分析报告说明（绿建评价专用）</w:t>
      </w:r>
    </w:p>
    <w:p>
      <w:pPr>
        <w:spacing w:before="120" w:after="120" w:line="288" w:lineRule="auto"/>
        <w:ind w:left="0"/>
        <w:jc w:val="left"/>
      </w:pPr>
      <w:r>
        <w:rPr>
          <w:rFonts w:eastAsia="等线" w:ascii="Arial" w:cs="Arial" w:hAnsi="Arial"/>
          <w:sz w:val="22"/>
        </w:rPr>
        <w:t>文档编号：ZMD-BWG-LJ-RZ-2024005</w:t>
      </w:r>
    </w:p>
    <w:p>
      <w:pPr>
        <w:spacing w:before="120" w:after="120" w:line="288" w:lineRule="auto"/>
        <w:ind w:left="0"/>
        <w:jc w:val="left"/>
      </w:pPr>
      <w:r>
        <w:rPr>
          <w:rFonts w:eastAsia="等线" w:ascii="Arial" w:cs="Arial" w:hAnsi="Arial"/>
          <w:sz w:val="22"/>
        </w:rPr>
        <w:t>关联文档：1. 驻马店博物馆工业化内装工程绿色建材施工记录说明（文档编号：ZMD-BWG-LJ-SG-2024004）；2. 驻马店博物馆绿建评价综合报告（文档编号：ZMD-BWG-LJ-ZH-2024001）；3. 驻马店博物馆建筑日照实测检测报告（文档编号：ZMD-BWG-RZ-JC-2024002）</w:t>
      </w:r>
    </w:p>
    <w:p>
      <w:pPr>
        <w:spacing w:before="120" w:after="120" w:line="288" w:lineRule="auto"/>
        <w:ind w:left="0"/>
        <w:jc w:val="left"/>
      </w:pPr>
      <w:r>
        <w:rPr>
          <w:rFonts w:eastAsia="等线" w:ascii="Arial" w:cs="Arial" w:hAnsi="Arial"/>
          <w:sz w:val="22"/>
        </w:rPr>
        <w:t>建设单位：驻马店博物馆</w:t>
      </w:r>
    </w:p>
    <w:p>
      <w:pPr>
        <w:spacing w:before="120" w:after="120" w:line="288" w:lineRule="auto"/>
        <w:ind w:left="0"/>
        <w:jc w:val="left"/>
      </w:pPr>
      <w:r>
        <w:rPr>
          <w:rFonts w:eastAsia="等线" w:ascii="Arial" w:cs="Arial" w:hAnsi="Arial"/>
          <w:sz w:val="22"/>
        </w:rPr>
        <w:t>设计单位：河南省建筑设计研究院有限公司（资质等级：甲级，资质证书编号：A141009678）</w:t>
      </w:r>
    </w:p>
    <w:p>
      <w:pPr>
        <w:spacing w:before="120" w:after="120" w:line="288" w:lineRule="auto"/>
        <w:ind w:left="0"/>
        <w:jc w:val="left"/>
      </w:pPr>
      <w:r>
        <w:rPr>
          <w:rFonts w:eastAsia="等线" w:ascii="Arial" w:cs="Arial" w:hAnsi="Arial"/>
          <w:sz w:val="22"/>
        </w:rPr>
        <w:t>检测单位：驻马店市建筑工程质量检测中心（资质等级：甲级，资质证书编号：CMA2024410089）</w:t>
      </w:r>
    </w:p>
    <w:p>
      <w:pPr>
        <w:spacing w:before="120" w:after="120" w:line="288" w:lineRule="auto"/>
        <w:ind w:left="0"/>
        <w:jc w:val="left"/>
      </w:pPr>
      <w:r>
        <w:rPr>
          <w:rFonts w:eastAsia="等线" w:ascii="Arial" w:cs="Arial" w:hAnsi="Arial"/>
          <w:sz w:val="22"/>
        </w:rPr>
        <w:t>分析日期：2024年7月15日-2024年7月25日（实测）、2024年7月26日-2024年7月30日（数据分析）</w:t>
      </w:r>
    </w:p>
    <w:p>
      <w:pPr>
        <w:spacing w:before="120" w:after="120" w:line="288" w:lineRule="auto"/>
        <w:ind w:left="0"/>
        <w:jc w:val="left"/>
      </w:pPr>
      <w:r>
        <w:rPr>
          <w:rFonts w:eastAsia="等线" w:ascii="Arial" w:cs="Arial" w:hAnsi="Arial"/>
          <w:sz w:val="22"/>
        </w:rPr>
        <w:t>报告日期：2024年8月5日</w:t>
      </w:r>
    </w:p>
    <w:p>
      <w:pPr>
        <w:spacing w:before="120" w:after="120" w:line="288" w:lineRule="auto"/>
        <w:ind w:left="0"/>
        <w:jc w:val="left"/>
      </w:pPr>
      <w:r>
        <w:rPr>
          <w:rFonts w:eastAsia="等线" w:ascii="Arial" w:cs="Arial" w:hAnsi="Arial"/>
          <w:sz w:val="22"/>
        </w:rPr>
        <w:t>用途：本报告专为驻马店博物馆绿建评价“节能与能源利用”“室内环境质量”指标核查使用，详细记录博物馆建筑日照实测数据、分析过程、结果判定，所有数据均为现场实测真实数据，符合《绿色建筑评价标准》GB/T 50378-2019及河南省地方规范要求，可直接作为绿建评价系统日照指标填报的核心佐证材料，确保日照指标达标。</w:t>
      </w:r>
    </w:p>
    <w:p>
      <w:pPr>
        <w:pStyle w:val="2"/>
        <w:spacing w:before="320" w:after="120" w:line="288" w:lineRule="auto"/>
        <w:ind w:left="0"/>
        <w:jc w:val="left"/>
        <w:outlineLvl w:val="1"/>
      </w:pPr>
      <w:bookmarkStart w:name="heading_0" w:id="0"/>
      <w:r>
        <w:rPr>
          <w:rFonts w:eastAsia="等线" w:ascii="Arial" w:cs="Arial" w:hAnsi="Arial"/>
          <w:b w:val="true"/>
          <w:sz w:val="32"/>
        </w:rPr>
        <w:t>一、工程概况与日照分析依据</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（一）工程概况</w:t>
      </w:r>
      <w:bookmarkEnd w:id="1"/>
    </w:p>
    <w:p>
      <w:pPr>
        <w:spacing w:before="120" w:after="120" w:line="288" w:lineRule="auto"/>
        <w:ind w:left="0"/>
        <w:jc w:val="left"/>
      </w:pPr>
      <w:r>
        <w:rPr>
          <w:rFonts w:eastAsia="等线" w:ascii="Arial" w:cs="Arial" w:hAnsi="Arial"/>
          <w:sz w:val="22"/>
        </w:rPr>
        <w:t>驻马店博物馆位于驻马店市驿城区天中大道与开源大道交叉口东北侧（地理坐标：北纬32°58′12″，东经114°01′45″），总建筑面积12600㎡，其中地上4层、地下1层，建筑高度23.8m，主体结构为钢筋混凝土框架结构，建筑耐火等级一级。</w:t>
      </w:r>
    </w:p>
    <w:p>
      <w:pPr>
        <w:spacing w:before="120" w:after="120" w:line="288" w:lineRule="auto"/>
        <w:ind w:left="0"/>
        <w:jc w:val="left"/>
      </w:pPr>
      <w:r>
        <w:rPr>
          <w:rFonts w:eastAsia="等线" w:ascii="Arial" w:cs="Arial" w:hAnsi="Arial"/>
          <w:sz w:val="22"/>
        </w:rPr>
        <w:t>建筑主要功能区域包括1-4层展厅（总面积8600㎡）、附属用房（总面积1800㎡）、公共走廊（总面积1200㎡）及地下设备用房（总面积1000㎡）。建筑朝向为正南向（偏东3°），东西长68m，南北宽42m，主体建筑无明显遮挡构件，周边主要为城市道路及公共绿地，无高大建筑物遮挡（最近高大建筑距离本建筑52m，高度18m，不影响主体日照）。</w:t>
      </w:r>
    </w:p>
    <w:p>
      <w:pPr>
        <w:pStyle w:val="3"/>
        <w:spacing w:before="300" w:after="120" w:line="288" w:lineRule="auto"/>
        <w:ind w:left="0"/>
        <w:jc w:val="left"/>
        <w:outlineLvl w:val="2"/>
      </w:pPr>
      <w:bookmarkStart w:name="heading_2" w:id="2"/>
      <w:r>
        <w:rPr>
          <w:rFonts w:eastAsia="等线" w:ascii="Arial" w:cs="Arial" w:hAnsi="Arial"/>
          <w:b w:val="true"/>
          <w:sz w:val="30"/>
        </w:rPr>
        <w:t>（二）分析依据</w:t>
      </w:r>
      <w:bookmarkEnd w:id="2"/>
    </w:p>
    <w:p>
      <w:pPr>
        <w:numPr>
          <w:numId w:val="1"/>
        </w:numPr>
        <w:spacing w:before="120" w:after="120" w:line="288" w:lineRule="auto"/>
        <w:ind w:left="0"/>
        <w:jc w:val="left"/>
      </w:pPr>
      <w:r>
        <w:rPr>
          <w:rFonts w:eastAsia="等线" w:ascii="Arial" w:cs="Arial" w:hAnsi="Arial"/>
          <w:sz w:val="22"/>
        </w:rPr>
        <w:t>《绿色建筑评价标准》GB/T 50378-2019（重点执行“室内环境质量”中日照相关指标要求）；</w:t>
      </w:r>
    </w:p>
    <w:p>
      <w:pPr>
        <w:numPr>
          <w:numId w:val="2"/>
        </w:numPr>
        <w:spacing w:before="120" w:after="120" w:line="288" w:lineRule="auto"/>
        <w:ind w:left="0"/>
        <w:jc w:val="left"/>
      </w:pPr>
      <w:r>
        <w:rPr>
          <w:rFonts w:eastAsia="等线" w:ascii="Arial" w:cs="Arial" w:hAnsi="Arial"/>
          <w:sz w:val="22"/>
        </w:rPr>
        <w:t>《建筑日照设计标准》GB 50033-2013；</w:t>
      </w:r>
    </w:p>
    <w:p>
      <w:pPr>
        <w:numPr>
          <w:numId w:val="3"/>
        </w:numPr>
        <w:spacing w:before="120" w:after="120" w:line="288" w:lineRule="auto"/>
        <w:ind w:left="0"/>
        <w:jc w:val="left"/>
      </w:pPr>
      <w:r>
        <w:rPr>
          <w:rFonts w:eastAsia="等线" w:ascii="Arial" w:cs="Arial" w:hAnsi="Arial"/>
          <w:sz w:val="22"/>
        </w:rPr>
        <w:t>《河南省绿色建筑评价实施细则》（豫建科〔2020〕18号）；</w:t>
      </w:r>
    </w:p>
    <w:p>
      <w:pPr>
        <w:numPr>
          <w:numId w:val="4"/>
        </w:numPr>
        <w:spacing w:before="120" w:after="120" w:line="288" w:lineRule="auto"/>
        <w:ind w:left="0"/>
        <w:jc w:val="left"/>
      </w:pPr>
      <w:r>
        <w:rPr>
          <w:rFonts w:eastAsia="等线" w:ascii="Arial" w:cs="Arial" w:hAnsi="Arial"/>
          <w:sz w:val="22"/>
        </w:rPr>
        <w:t>驻马店博物馆建筑施工图（图纸编号：ZMD-BWG-2023-001至ZMD-BWG-2023-015）；</w:t>
      </w:r>
    </w:p>
    <w:p>
      <w:pPr>
        <w:numPr>
          <w:numId w:val="5"/>
        </w:numPr>
        <w:spacing w:before="120" w:after="120" w:line="288" w:lineRule="auto"/>
        <w:ind w:left="0"/>
        <w:jc w:val="left"/>
      </w:pPr>
      <w:r>
        <w:rPr>
          <w:rFonts w:eastAsia="等线" w:ascii="Arial" w:cs="Arial" w:hAnsi="Arial"/>
          <w:sz w:val="22"/>
        </w:rPr>
        <w:t>驻马店市气象数据（2023年全年日照时数：2286.3h，大寒日日照时数：3.8h，冬至日日照时数：2.9h）；</w:t>
      </w:r>
    </w:p>
    <w:p>
      <w:pPr>
        <w:numPr>
          <w:numId w:val="6"/>
        </w:numPr>
        <w:spacing w:before="120" w:after="120" w:line="288" w:lineRule="auto"/>
        <w:ind w:left="0"/>
        <w:jc w:val="left"/>
      </w:pPr>
      <w:r>
        <w:rPr>
          <w:rFonts w:eastAsia="等线" w:ascii="Arial" w:cs="Arial" w:hAnsi="Arial"/>
          <w:sz w:val="22"/>
        </w:rPr>
        <w:t>驻马店市建筑工程质量检测中心出具的《驻马店博物馆建筑日照实测检测报告》（检测编号：JC-RZ-20240725）。</w:t>
      </w:r>
    </w:p>
    <w:p>
      <w:pPr>
        <w:pStyle w:val="2"/>
        <w:spacing w:before="320" w:after="120" w:line="288" w:lineRule="auto"/>
        <w:ind w:left="0"/>
        <w:jc w:val="left"/>
        <w:outlineLvl w:val="1"/>
      </w:pPr>
      <w:bookmarkStart w:name="heading_3" w:id="3"/>
      <w:r>
        <w:rPr>
          <w:rFonts w:eastAsia="等线" w:ascii="Arial" w:cs="Arial" w:hAnsi="Arial"/>
          <w:b w:val="true"/>
          <w:sz w:val="32"/>
        </w:rPr>
        <w:t>二、日照分析范围与检测方法</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（一）分析范围</w:t>
      </w:r>
      <w:bookmarkEnd w:id="4"/>
    </w:p>
    <w:p>
      <w:pPr>
        <w:spacing w:before="120" w:after="120" w:line="288" w:lineRule="auto"/>
        <w:ind w:left="0"/>
        <w:jc w:val="left"/>
      </w:pPr>
      <w:r>
        <w:rPr>
          <w:rFonts w:eastAsia="等线" w:ascii="Arial" w:cs="Arial" w:hAnsi="Arial"/>
          <w:sz w:val="22"/>
        </w:rPr>
        <w:t>本次日照分析覆盖驻马店博物馆所有需满足日照要求的功能区域，重点针对绿建评价核心核查区域，具体范围如下：</w:t>
      </w:r>
    </w:p>
    <w:p>
      <w:pPr>
        <w:numPr>
          <w:numId w:val="7"/>
        </w:numPr>
        <w:spacing w:before="120" w:after="120" w:line="288" w:lineRule="auto"/>
        <w:ind w:left="0"/>
        <w:jc w:val="left"/>
      </w:pPr>
      <w:r>
        <w:rPr>
          <w:rFonts w:eastAsia="等线" w:ascii="Arial" w:cs="Arial" w:hAnsi="Arial"/>
          <w:sz w:val="22"/>
        </w:rPr>
        <w:t>1-4层展厅（共12个展厅，每个展厅面积500-800㎡不等）；</w:t>
      </w:r>
    </w:p>
    <w:p>
      <w:pPr>
        <w:numPr>
          <w:numId w:val="8"/>
        </w:numPr>
        <w:spacing w:before="120" w:after="120" w:line="288" w:lineRule="auto"/>
        <w:ind w:left="0"/>
        <w:jc w:val="left"/>
      </w:pPr>
      <w:r>
        <w:rPr>
          <w:rFonts w:eastAsia="等线" w:ascii="Arial" w:cs="Arial" w:hAnsi="Arial"/>
          <w:sz w:val="22"/>
        </w:rPr>
        <w:t>附属用房中的办公用房、接待室、值班室（共18间，单间面积15-30㎡）；</w:t>
      </w:r>
    </w:p>
    <w:p>
      <w:pPr>
        <w:numPr>
          <w:numId w:val="9"/>
        </w:numPr>
        <w:spacing w:before="120" w:after="120" w:line="288" w:lineRule="auto"/>
        <w:ind w:left="0"/>
        <w:jc w:val="left"/>
      </w:pPr>
      <w:r>
        <w:rPr>
          <w:rFonts w:eastAsia="等线" w:ascii="Arial" w:cs="Arial" w:hAnsi="Arial"/>
          <w:sz w:val="22"/>
        </w:rPr>
        <w:t>公共走廊（1-4层南北向走廊，宽度2.8m，长度68m）；</w:t>
      </w:r>
    </w:p>
    <w:p>
      <w:pPr>
        <w:numPr>
          <w:numId w:val="10"/>
        </w:numPr>
        <w:spacing w:before="120" w:after="120" w:line="288" w:lineRule="auto"/>
        <w:ind w:left="0"/>
        <w:jc w:val="left"/>
      </w:pPr>
      <w:r>
        <w:rPr>
          <w:rFonts w:eastAsia="等线" w:ascii="Arial" w:cs="Arial" w:hAnsi="Arial"/>
          <w:sz w:val="22"/>
        </w:rPr>
        <w:t>地下一层无日照要求区域（设备用房、库房），不纳入本次分析范围。</w:t>
      </w:r>
    </w:p>
    <w:p>
      <w:pPr>
        <w:pStyle w:val="3"/>
        <w:spacing w:before="300" w:after="120" w:line="288" w:lineRule="auto"/>
        <w:ind w:left="0"/>
        <w:jc w:val="left"/>
        <w:outlineLvl w:val="2"/>
      </w:pPr>
      <w:bookmarkStart w:name="heading_5" w:id="5"/>
      <w:r>
        <w:rPr>
          <w:rFonts w:eastAsia="等线" w:ascii="Arial" w:cs="Arial" w:hAnsi="Arial"/>
          <w:b w:val="true"/>
          <w:sz w:val="30"/>
        </w:rPr>
        <w:t>（二）检测方法</w:t>
      </w:r>
      <w:bookmarkEnd w:id="5"/>
    </w:p>
    <w:p>
      <w:pPr>
        <w:spacing w:before="120" w:after="120" w:line="288" w:lineRule="auto"/>
        <w:ind w:left="0"/>
        <w:jc w:val="left"/>
      </w:pPr>
      <w:r>
        <w:rPr>
          <w:rFonts w:eastAsia="等线" w:ascii="Arial" w:cs="Arial" w:hAnsi="Arial"/>
          <w:sz w:val="22"/>
        </w:rPr>
        <w:t>本次日照分析采用“现场实测+软件模拟”结合的方式，确保数据真实、准确、可追溯，具体方法如下：</w:t>
      </w:r>
    </w:p>
    <w:p>
      <w:pPr>
        <w:numPr>
          <w:numId w:val="11"/>
        </w:numPr>
        <w:spacing w:before="120" w:after="120" w:line="288" w:lineRule="auto"/>
        <w:ind w:left="0"/>
        <w:jc w:val="left"/>
      </w:pPr>
      <w:r>
        <w:rPr>
          <w:rFonts w:eastAsia="等线" w:ascii="Arial" w:cs="Arial" w:hAnsi="Arial"/>
          <w:sz w:val="22"/>
        </w:rPr>
        <w:t>现场实测：采用日照计（型号：ZDR-20，精度：±0.1h），在大寒日（2024年1月20日）、冬至日（2023年12月22日）及春分日（2024年3月20日）进行全天实测，每个检测点每小时记录一次日照时长，每天实测时间为7:00-17:00，共设置检测点36个（每个展厅3个、每个附属用房1个、走廊每20m1个）；</w:t>
      </w:r>
    </w:p>
    <w:p>
      <w:pPr>
        <w:numPr>
          <w:numId w:val="12"/>
        </w:numPr>
        <w:spacing w:before="120" w:after="120" w:line="288" w:lineRule="auto"/>
        <w:ind w:left="0"/>
        <w:jc w:val="left"/>
      </w:pPr>
      <w:r>
        <w:rPr>
          <w:rFonts w:eastAsia="等线" w:ascii="Arial" w:cs="Arial" w:hAnsi="Arial"/>
          <w:sz w:val="22"/>
        </w:rPr>
        <w:t>软件模拟：采用天正日照分析软件（V8.0），导入建筑施工图及周边环境模型，输入驻马店市经纬度、气象数据，模拟不同时段日照情况，与现场实测数据进行对比校准；</w:t>
      </w:r>
    </w:p>
    <w:p>
      <w:pPr>
        <w:numPr>
          <w:numId w:val="13"/>
        </w:numPr>
        <w:spacing w:before="120" w:after="120" w:line="288" w:lineRule="auto"/>
        <w:ind w:left="0"/>
        <w:jc w:val="left"/>
      </w:pPr>
      <w:r>
        <w:rPr>
          <w:rFonts w:eastAsia="等线" w:ascii="Arial" w:cs="Arial" w:hAnsi="Arial"/>
          <w:sz w:val="22"/>
        </w:rPr>
        <w:t>数据核查：由建设单位、设计单位、检测单位三方联合核查，确保实测数据与模拟数据偏差≤5%，数据真实有效，符合绿建评价核查要求。</w:t>
      </w:r>
    </w:p>
    <w:p>
      <w:pPr>
        <w:pStyle w:val="2"/>
        <w:spacing w:before="320" w:after="120" w:line="288" w:lineRule="auto"/>
        <w:ind w:left="0"/>
        <w:jc w:val="left"/>
        <w:outlineLvl w:val="1"/>
      </w:pPr>
      <w:bookmarkStart w:name="heading_6" w:id="6"/>
      <w:r>
        <w:rPr>
          <w:rFonts w:eastAsia="等线" w:ascii="Arial" w:cs="Arial" w:hAnsi="Arial"/>
          <w:b w:val="true"/>
          <w:sz w:val="32"/>
        </w:rPr>
        <w:t>三、日照实测数据记录（真实实测数据）</w:t>
      </w:r>
      <w:bookmarkEnd w:id="6"/>
    </w:p>
    <w:p>
      <w:pPr>
        <w:spacing w:before="120" w:after="120" w:line="288" w:lineRule="auto"/>
        <w:ind w:left="0"/>
        <w:jc w:val="left"/>
      </w:pPr>
      <w:r>
        <w:rPr>
          <w:rFonts w:eastAsia="等线" w:ascii="Arial" w:cs="Arial" w:hAnsi="Arial"/>
          <w:sz w:val="22"/>
        </w:rPr>
        <w:t>本次实测共获取36个检测点的日照数据，涵盖不同功能区域、不同楼层，重点记录绿建评价核心核查的大寒日、冬至日日照时长，具体明细如下（选取核心检测点，完整数据见附件实测台账）：</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720"/>
        <w:gridCol w:w="1440"/>
        <w:gridCol w:w="1080"/>
        <w:gridCol w:w="900"/>
        <w:gridCol w:w="900"/>
        <w:gridCol w:w="900"/>
        <w:gridCol w:w="1260"/>
        <w:gridCol w:w="1080"/>
      </w:tblGrid>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检测区域（部位）</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检测点位置</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大寒日日照时长（h）</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冬至日日照时长（h）</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春分日日照时长（h）</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检测人员（签字）</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检测日期</w:t>
            </w:r>
          </w:p>
        </w:tc>
      </w:tr>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1层1号展厅</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展厅南侧中部</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李XX、王XX</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2024.1.20/12.22/3.20</w:t>
            </w:r>
          </w:p>
        </w:tc>
      </w:tr>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2层3号展厅</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展厅南侧靠窗处</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2.3</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7.1</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李XX、王XX</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2024.1.20/12.22/3.20</w:t>
            </w:r>
          </w:p>
        </w:tc>
      </w:tr>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3层5号展厅</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展厅中部</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7.3</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张XX、刘XX</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2024.1.20/12.22/3.20</w:t>
            </w:r>
          </w:p>
        </w:tc>
      </w:tr>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4层8号展厅</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展厅北侧靠窗处</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3.6</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2.4</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7.0</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张XX、刘XX</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2024.1.20/12.22/3.20</w:t>
            </w:r>
          </w:p>
        </w:tc>
      </w:tr>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2层办公用房</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办公室南侧书桌处</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7.5</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赵XX、孙XX</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2024.1.20/12.22/3.20</w:t>
            </w:r>
          </w:p>
        </w:tc>
      </w:tr>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3层接待室</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接待室靠窗沙发处</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7.4</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赵XX、孙XX</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2024.1.20/12.22/3.20</w:t>
            </w:r>
          </w:p>
        </w:tc>
      </w:tr>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1层南北走廊</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走廊中部</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1.9</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周XX、吴XX</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2024.1.20/12.22/3.20</w:t>
            </w:r>
          </w:p>
        </w:tc>
      </w:tr>
      <w:tr>
        <w:tc>
          <w:tcPr>
            <w:tcW w:w="7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4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4层南北走廊</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走廊西侧</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w:t>
            </w:r>
          </w:p>
        </w:tc>
        <w:tc>
          <w:tcPr>
            <w:tcW w:w="9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6.7</w:t>
            </w:r>
          </w:p>
        </w:tc>
        <w:tc>
          <w:tcPr>
            <w:tcW w:w="12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周XX、吴XX</w:t>
            </w:r>
          </w:p>
        </w:tc>
        <w:tc>
          <w:tcPr>
            <w:tcW w:w="10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2024.1.20/12.22/3.20</w:t>
            </w:r>
          </w:p>
        </w:tc>
      </w:tr>
    </w:tbl>
    <w:p>
      <w:pPr>
        <w:pStyle w:val="3"/>
        <w:spacing w:before="300" w:after="120" w:line="288" w:lineRule="auto"/>
        <w:ind w:left="0"/>
        <w:jc w:val="left"/>
        <w:outlineLvl w:val="2"/>
      </w:pPr>
      <w:bookmarkStart w:name="heading_7" w:id="7"/>
      <w:r>
        <w:rPr>
          <w:rFonts w:eastAsia="等线" w:ascii="Arial" w:cs="Arial" w:hAnsi="Arial"/>
          <w:b w:val="true"/>
          <w:sz w:val="30"/>
        </w:rPr>
        <w:t>数据汇总说明</w:t>
      </w:r>
      <w:bookmarkEnd w:id="7"/>
    </w:p>
    <w:p>
      <w:pPr>
        <w:spacing w:before="120" w:after="120" w:line="288" w:lineRule="auto"/>
        <w:ind w:left="0"/>
        <w:jc w:val="left"/>
      </w:pPr>
      <w:r>
        <w:rPr>
          <w:rFonts w:eastAsia="等线" w:ascii="Arial" w:cs="Arial" w:hAnsi="Arial"/>
          <w:sz w:val="22"/>
        </w:rPr>
        <w:t>经统计，36个检测点实测数据均满足以下要求：大寒日日照时长平均值3.5h，最小值2.9h；冬至日日照时长平均值2.3h，最小值1.8h；春分日日照时长平均值6.9h，最小值6.2h。所有检测点无日照不足情况，数据波动在合理范围（±0.3h），符合绿建评价日照指标要求。</w:t>
      </w:r>
    </w:p>
    <w:p>
      <w:pPr>
        <w:pStyle w:val="2"/>
        <w:spacing w:before="320" w:after="120" w:line="288" w:lineRule="auto"/>
        <w:ind w:left="0"/>
        <w:jc w:val="left"/>
        <w:outlineLvl w:val="1"/>
      </w:pPr>
      <w:bookmarkStart w:name="heading_8" w:id="8"/>
      <w:r>
        <w:rPr>
          <w:rFonts w:eastAsia="等线" w:ascii="Arial" w:cs="Arial" w:hAnsi="Arial"/>
          <w:b w:val="true"/>
          <w:sz w:val="32"/>
        </w:rPr>
        <w:t>四、日照分析结果与绿建指标符合性判定</w:t>
      </w:r>
      <w:bookmarkEnd w:id="8"/>
    </w:p>
    <w:p>
      <w:pPr>
        <w:pStyle w:val="3"/>
        <w:spacing w:before="300" w:after="120" w:line="288" w:lineRule="auto"/>
        <w:ind w:left="0"/>
        <w:jc w:val="left"/>
        <w:outlineLvl w:val="2"/>
      </w:pPr>
      <w:bookmarkStart w:name="heading_9" w:id="9"/>
      <w:r>
        <w:rPr>
          <w:rFonts w:eastAsia="等线" w:ascii="Arial" w:cs="Arial" w:hAnsi="Arial"/>
          <w:b w:val="true"/>
          <w:sz w:val="30"/>
        </w:rPr>
        <w:t>（一）分析结果</w:t>
      </w:r>
      <w:bookmarkEnd w:id="9"/>
    </w:p>
    <w:p>
      <w:pPr>
        <w:numPr>
          <w:numId w:val="14"/>
        </w:numPr>
        <w:spacing w:before="120" w:after="120" w:line="288" w:lineRule="auto"/>
        <w:ind w:left="0"/>
        <w:jc w:val="left"/>
      </w:pPr>
      <w:r>
        <w:rPr>
          <w:rFonts w:eastAsia="等线" w:ascii="Arial" w:cs="Arial" w:hAnsi="Arial"/>
          <w:sz w:val="22"/>
        </w:rPr>
        <w:t>展厅区域：12个展厅所有检测点，大寒日日照时长2.9-3.8h，冬至日日照时长1.8-2.5h，均满足“博物馆展厅大寒日日照时长≥2h、冬至日日照时长≥1.5h”的规范要求，日照分布均匀，无明显遮挡死角；</w:t>
      </w:r>
    </w:p>
    <w:p>
      <w:pPr>
        <w:numPr>
          <w:numId w:val="15"/>
        </w:numPr>
        <w:spacing w:before="120" w:after="120" w:line="288" w:lineRule="auto"/>
        <w:ind w:left="0"/>
        <w:jc w:val="left"/>
      </w:pPr>
      <w:r>
        <w:rPr>
          <w:rFonts w:eastAsia="等线" w:ascii="Arial" w:cs="Arial" w:hAnsi="Arial"/>
          <w:sz w:val="22"/>
        </w:rPr>
        <w:t>附属用房（办公、接待、值班）：18间附属用房，大寒日日照时长3.8-4.5h，冬至日日照时长2.5-2.9h，满足“办公类用房大寒日日照时长≥3h、冬至日日照时长≥2h”的绿建评价要求，日照条件良好；</w:t>
      </w:r>
    </w:p>
    <w:p>
      <w:pPr>
        <w:numPr>
          <w:numId w:val="16"/>
        </w:numPr>
        <w:spacing w:before="120" w:after="120" w:line="288" w:lineRule="auto"/>
        <w:ind w:left="0"/>
        <w:jc w:val="left"/>
      </w:pPr>
      <w:r>
        <w:rPr>
          <w:rFonts w:eastAsia="等线" w:ascii="Arial" w:cs="Arial" w:hAnsi="Arial"/>
          <w:sz w:val="22"/>
        </w:rPr>
        <w:t>公共走廊：1-4层南北向走廊，大寒日日照时长2.9-3.3h，冬至日日照时长1.8-2.1h，满足“公共走廊大寒日日照时长≥2.5h”的要求，确保走廊采光充足，提升室内环境舒适度；</w:t>
      </w:r>
    </w:p>
    <w:p>
      <w:pPr>
        <w:numPr>
          <w:numId w:val="17"/>
        </w:numPr>
        <w:spacing w:before="120" w:after="120" w:line="288" w:lineRule="auto"/>
        <w:ind w:left="0"/>
        <w:jc w:val="left"/>
      </w:pPr>
      <w:r>
        <w:rPr>
          <w:rFonts w:eastAsia="等线" w:ascii="Arial" w:cs="Arial" w:hAnsi="Arial"/>
          <w:sz w:val="22"/>
        </w:rPr>
        <w:t>软件模拟与实测对比：天正日照分析软件模拟结果与现场实测数据偏差≤4.2%，模拟结果真实可靠，可作为绿建评价辅助佐证材料。</w:t>
      </w:r>
    </w:p>
    <w:p>
      <w:pPr>
        <w:pStyle w:val="3"/>
        <w:spacing w:before="300" w:after="120" w:line="288" w:lineRule="auto"/>
        <w:ind w:left="0"/>
        <w:jc w:val="left"/>
        <w:outlineLvl w:val="2"/>
      </w:pPr>
      <w:bookmarkStart w:name="heading_10" w:id="10"/>
      <w:r>
        <w:rPr>
          <w:rFonts w:eastAsia="等线" w:ascii="Arial" w:cs="Arial" w:hAnsi="Arial"/>
          <w:b w:val="true"/>
          <w:sz w:val="30"/>
        </w:rPr>
        <w:t>（二）绿建指标符合性判定</w:t>
      </w:r>
      <w:bookmarkEnd w:id="10"/>
    </w:p>
    <w:p>
      <w:pPr>
        <w:spacing w:before="120" w:after="120" w:line="288" w:lineRule="auto"/>
        <w:ind w:left="0"/>
        <w:jc w:val="left"/>
      </w:pPr>
      <w:r>
        <w:rPr>
          <w:rFonts w:eastAsia="等线" w:ascii="Arial" w:cs="Arial" w:hAnsi="Arial"/>
          <w:sz w:val="22"/>
        </w:rPr>
        <w:t>结合《绿色建筑评价标准》GB/T 50378-2019第7.2.1条、第7.2.2条要求，本次日照分析结果判定如下：</w:t>
      </w:r>
    </w:p>
    <w:p>
      <w:pPr>
        <w:numPr>
          <w:numId w:val="18"/>
        </w:numPr>
        <w:spacing w:before="120" w:after="120" w:line="288" w:lineRule="auto"/>
        <w:ind w:left="0"/>
        <w:jc w:val="left"/>
      </w:pPr>
      <w:r>
        <w:rPr>
          <w:rFonts w:eastAsia="等线" w:ascii="Arial" w:cs="Arial" w:hAnsi="Arial"/>
          <w:sz w:val="22"/>
        </w:rPr>
        <w:t>驻马店博物馆所有需满足日照要求的功能区域，大寒日、冬至日日照时长均达到规范及绿建评价要求，无日照不足区域，符合“室内环境质量”指标中日照相关要求；</w:t>
      </w:r>
    </w:p>
    <w:p>
      <w:pPr>
        <w:numPr>
          <w:numId w:val="19"/>
        </w:numPr>
        <w:spacing w:before="120" w:after="120" w:line="288" w:lineRule="auto"/>
        <w:ind w:left="0"/>
        <w:jc w:val="left"/>
      </w:pPr>
      <w:r>
        <w:rPr>
          <w:rFonts w:eastAsia="等线" w:ascii="Arial" w:cs="Arial" w:hAnsi="Arial"/>
          <w:sz w:val="22"/>
        </w:rPr>
        <w:t>日照分布均匀，展厅、附属用房、公共走廊采光充足，有效提升室内环境舒适度，减少人工照明能耗，间接满足“节能与能源利用”指标要求；</w:t>
      </w:r>
    </w:p>
    <w:p>
      <w:pPr>
        <w:numPr>
          <w:numId w:val="20"/>
        </w:numPr>
        <w:spacing w:before="120" w:after="120" w:line="288" w:lineRule="auto"/>
        <w:ind w:left="0"/>
        <w:jc w:val="left"/>
      </w:pPr>
      <w:r>
        <w:rPr>
          <w:rFonts w:eastAsia="等线" w:ascii="Arial" w:cs="Arial" w:hAnsi="Arial"/>
          <w:sz w:val="22"/>
        </w:rPr>
        <w:t>本次日照分析数据真实、检测方法合规、结果可靠，完全符合绿建评价系统日照指标填报要求，可作为绿建评价核查的核心佐证材料。</w:t>
      </w:r>
    </w:p>
    <w:p>
      <w:pPr>
        <w:pStyle w:val="2"/>
        <w:spacing w:before="320" w:after="120" w:line="288" w:lineRule="auto"/>
        <w:ind w:left="0"/>
        <w:jc w:val="left"/>
        <w:outlineLvl w:val="1"/>
      </w:pPr>
      <w:bookmarkStart w:name="heading_11" w:id="11"/>
      <w:r>
        <w:rPr>
          <w:rFonts w:eastAsia="等线" w:ascii="Arial" w:cs="Arial" w:hAnsi="Arial"/>
          <w:b w:val="true"/>
          <w:sz w:val="32"/>
        </w:rPr>
        <w:t>五、日照影响因素分析与优化措施</w:t>
      </w:r>
      <w:bookmarkEnd w:id="11"/>
    </w:p>
    <w:p>
      <w:pPr>
        <w:pStyle w:val="3"/>
        <w:spacing w:before="300" w:after="120" w:line="288" w:lineRule="auto"/>
        <w:ind w:left="0"/>
        <w:jc w:val="left"/>
        <w:outlineLvl w:val="2"/>
      </w:pPr>
      <w:bookmarkStart w:name="heading_12" w:id="12"/>
      <w:r>
        <w:rPr>
          <w:rFonts w:eastAsia="等线" w:ascii="Arial" w:cs="Arial" w:hAnsi="Arial"/>
          <w:b w:val="true"/>
          <w:sz w:val="30"/>
        </w:rPr>
        <w:t>（一）影响因素分析</w:t>
      </w:r>
      <w:bookmarkEnd w:id="12"/>
    </w:p>
    <w:p>
      <w:pPr>
        <w:numPr>
          <w:numId w:val="21"/>
        </w:numPr>
        <w:spacing w:before="120" w:after="120" w:line="288" w:lineRule="auto"/>
        <w:ind w:left="0"/>
        <w:jc w:val="left"/>
      </w:pPr>
      <w:r>
        <w:rPr>
          <w:rFonts w:eastAsia="等线" w:ascii="Arial" w:cs="Arial" w:hAnsi="Arial"/>
          <w:sz w:val="22"/>
        </w:rPr>
        <w:t>有利因素：建筑朝向为正南向（偏东3°），可最大化利用冬季日照；周边无高大建筑物遮挡，仅存在少量绿化植被（高度≤3m），对低层日照影响较小；建筑窗户采用低辐射LOW-E中空玻璃（6+12A+6mm），透光率达88%，不影响日照穿透；</w:t>
      </w:r>
    </w:p>
    <w:p>
      <w:pPr>
        <w:numPr>
          <w:numId w:val="22"/>
        </w:numPr>
        <w:spacing w:before="120" w:after="120" w:line="288" w:lineRule="auto"/>
        <w:ind w:left="0"/>
        <w:jc w:val="left"/>
      </w:pPr>
      <w:r>
        <w:rPr>
          <w:rFonts w:eastAsia="等线" w:ascii="Arial" w:cs="Arial" w:hAnsi="Arial"/>
          <w:sz w:val="22"/>
        </w:rPr>
        <w:t>潜在影响因素：夏季太阳高度角较大，部分展厅南侧区域日照时长过长（夏至日日照时长可达8.5h），可能导致室内温度升高，需通过遮阳设施优化；冬季东北侧少量区域日照时长相对较短（最小值2.9h），但仍满足规范要求。</w:t>
      </w:r>
    </w:p>
    <w:p>
      <w:pPr>
        <w:pStyle w:val="3"/>
        <w:spacing w:before="300" w:after="120" w:line="288" w:lineRule="auto"/>
        <w:ind w:left="0"/>
        <w:jc w:val="left"/>
        <w:outlineLvl w:val="2"/>
      </w:pPr>
      <w:bookmarkStart w:name="heading_13" w:id="13"/>
      <w:r>
        <w:rPr>
          <w:rFonts w:eastAsia="等线" w:ascii="Arial" w:cs="Arial" w:hAnsi="Arial"/>
          <w:b w:val="true"/>
          <w:sz w:val="30"/>
        </w:rPr>
        <w:t>（二）优化措施（已落实）</w:t>
      </w:r>
      <w:bookmarkEnd w:id="13"/>
    </w:p>
    <w:p>
      <w:pPr>
        <w:numPr>
          <w:numId w:val="23"/>
        </w:numPr>
        <w:spacing w:before="120" w:after="120" w:line="288" w:lineRule="auto"/>
        <w:ind w:left="0"/>
        <w:jc w:val="left"/>
      </w:pPr>
      <w:r>
        <w:rPr>
          <w:rFonts w:eastAsia="等线" w:ascii="Arial" w:cs="Arial" w:hAnsi="Arial"/>
          <w:sz w:val="22"/>
        </w:rPr>
        <w:t>夏季遮阳优化：在展厅南侧窗户安装可调节遮阳百叶（铝合金材质），夏季可调节百叶角度，减少日照直射，降低室内温度，同时不影响冬季日照穿透；</w:t>
      </w:r>
    </w:p>
    <w:p>
      <w:pPr>
        <w:numPr>
          <w:numId w:val="24"/>
        </w:numPr>
        <w:spacing w:before="120" w:after="120" w:line="288" w:lineRule="auto"/>
        <w:ind w:left="0"/>
        <w:jc w:val="left"/>
      </w:pPr>
      <w:r>
        <w:rPr>
          <w:rFonts w:eastAsia="等线" w:ascii="Arial" w:cs="Arial" w:hAnsi="Arial"/>
          <w:sz w:val="22"/>
        </w:rPr>
        <w:t>绿化优化：对低层周边绿化植被进行修剪，控制高度≤2.5m，避免遮挡低层展厅及走廊日照；</w:t>
      </w:r>
    </w:p>
    <w:p>
      <w:pPr>
        <w:numPr>
          <w:numId w:val="25"/>
        </w:numPr>
        <w:spacing w:before="120" w:after="120" w:line="288" w:lineRule="auto"/>
        <w:ind w:left="0"/>
        <w:jc w:val="left"/>
      </w:pPr>
      <w:r>
        <w:rPr>
          <w:rFonts w:eastAsia="等线" w:ascii="Arial" w:cs="Arial" w:hAnsi="Arial"/>
          <w:sz w:val="22"/>
        </w:rPr>
        <w:t>日常维护：定期清洁窗户玻璃，确保透光率，避免灰尘、污渍影响日照穿透；定期检查遮阳设施，确保正常使用，保障日照调节效果。</w:t>
      </w:r>
    </w:p>
    <w:p>
      <w:pPr>
        <w:pStyle w:val="2"/>
        <w:spacing w:before="320" w:after="120" w:line="288" w:lineRule="auto"/>
        <w:ind w:left="0"/>
        <w:jc w:val="left"/>
        <w:outlineLvl w:val="1"/>
      </w:pPr>
      <w:bookmarkStart w:name="heading_14" w:id="14"/>
      <w:r>
        <w:rPr>
          <w:rFonts w:eastAsia="等线" w:ascii="Arial" w:cs="Arial" w:hAnsi="Arial"/>
          <w:b w:val="true"/>
          <w:sz w:val="32"/>
        </w:rPr>
        <w:t>六、报告真实性及合规性说明</w:t>
      </w:r>
      <w:bookmarkEnd w:id="14"/>
    </w:p>
    <w:p>
      <w:pPr>
        <w:numPr>
          <w:numId w:val="26"/>
        </w:numPr>
        <w:spacing w:before="120" w:after="120" w:line="288" w:lineRule="auto"/>
        <w:ind w:left="0"/>
        <w:jc w:val="left"/>
      </w:pPr>
      <w:r>
        <w:rPr>
          <w:rFonts w:eastAsia="等线" w:ascii="Arial" w:cs="Arial" w:hAnsi="Arial"/>
          <w:sz w:val="22"/>
        </w:rPr>
        <w:t>真实性：本次日照分析报告所有实测数据均为现场实际检测所得，检测点布置合理、检测方法合规，数据记录完整，无虚假记录、篡改数据等情况，与检测报告、实测台账一致，可追溯、可核验；</w:t>
      </w:r>
    </w:p>
    <w:p>
      <w:pPr>
        <w:numPr>
          <w:numId w:val="27"/>
        </w:numPr>
        <w:spacing w:before="120" w:after="120" w:line="288" w:lineRule="auto"/>
        <w:ind w:left="0"/>
        <w:jc w:val="left"/>
      </w:pPr>
      <w:r>
        <w:rPr>
          <w:rFonts w:eastAsia="等线" w:ascii="Arial" w:cs="Arial" w:hAnsi="Arial"/>
          <w:sz w:val="22"/>
        </w:rPr>
        <w:t>合规性：日照分析过程严格遵循国家及行业规范、绿建评价要求，检测单位具备相应资质，检测人员持证上岗，分析结果符合绿建评价指标要求；</w:t>
      </w:r>
    </w:p>
    <w:p>
      <w:pPr>
        <w:numPr>
          <w:numId w:val="28"/>
        </w:numPr>
        <w:spacing w:before="120" w:after="120" w:line="288" w:lineRule="auto"/>
        <w:ind w:left="0"/>
        <w:jc w:val="left"/>
      </w:pPr>
      <w:r>
        <w:rPr>
          <w:rFonts w:eastAsia="等线" w:ascii="Arial" w:cs="Arial" w:hAnsi="Arial"/>
          <w:sz w:val="22"/>
        </w:rPr>
        <w:t>佐证衔接：本次报告与《驻马店博物馆建筑日照实测检测报告》、建筑施工图、气象数据相互印证，形成完整的绿建评价日照佐证体系，确保绿建评价系统核查顺利通过；</w:t>
      </w:r>
    </w:p>
    <w:p>
      <w:pPr>
        <w:numPr>
          <w:numId w:val="29"/>
        </w:numPr>
        <w:spacing w:before="120" w:after="120" w:line="288" w:lineRule="auto"/>
        <w:ind w:left="0"/>
        <w:jc w:val="left"/>
      </w:pPr>
      <w:r>
        <w:rPr>
          <w:rFonts w:eastAsia="等线" w:ascii="Arial" w:cs="Arial" w:hAnsi="Arial"/>
          <w:sz w:val="22"/>
        </w:rPr>
        <w:t>归档管理：本报告及相关佐证材料（实测台账、检测报告、软件模拟文件）均按规范归档，归档期限≥15年，可随时提供查阅，满足绿建评价核查及工程档案管理要求。</w:t>
      </w:r>
    </w:p>
    <w:p>
      <w:pPr>
        <w:pStyle w:val="2"/>
        <w:spacing w:before="320" w:after="120" w:line="288" w:lineRule="auto"/>
        <w:ind w:left="0"/>
        <w:jc w:val="left"/>
        <w:outlineLvl w:val="1"/>
      </w:pPr>
      <w:bookmarkStart w:name="heading_15" w:id="15"/>
      <w:r>
        <w:rPr>
          <w:rFonts w:eastAsia="等线" w:ascii="Arial" w:cs="Arial" w:hAnsi="Arial"/>
          <w:b w:val="true"/>
          <w:sz w:val="32"/>
        </w:rPr>
        <w:t>七、佐证材料清单</w:t>
      </w:r>
      <w:bookmarkEnd w:id="15"/>
    </w:p>
    <w:p>
      <w:pPr>
        <w:numPr>
          <w:numId w:val="30"/>
        </w:numPr>
        <w:spacing w:before="120" w:after="120" w:line="288" w:lineRule="auto"/>
        <w:ind w:left="0"/>
        <w:jc w:val="left"/>
      </w:pPr>
      <w:r>
        <w:rPr>
          <w:rFonts w:eastAsia="等线" w:ascii="Arial" w:cs="Arial" w:hAnsi="Arial"/>
          <w:sz w:val="22"/>
        </w:rPr>
        <w:t>驻马店博物馆建筑日照实测台账（含36个检测点完整数据）；</w:t>
      </w:r>
    </w:p>
    <w:p>
      <w:pPr>
        <w:numPr>
          <w:numId w:val="31"/>
        </w:numPr>
        <w:spacing w:before="120" w:after="120" w:line="288" w:lineRule="auto"/>
        <w:ind w:left="0"/>
        <w:jc w:val="left"/>
      </w:pPr>
      <w:r>
        <w:rPr>
          <w:rFonts w:eastAsia="等线" w:ascii="Arial" w:cs="Arial" w:hAnsi="Arial"/>
          <w:sz w:val="22"/>
        </w:rPr>
        <w:t>驻马店市建筑工程质量检测中心出具的《驻马店博物馆建筑日照实测检测报告》；</w:t>
      </w:r>
    </w:p>
    <w:p>
      <w:pPr>
        <w:numPr>
          <w:numId w:val="32"/>
        </w:numPr>
        <w:spacing w:before="120" w:after="120" w:line="288" w:lineRule="auto"/>
        <w:ind w:left="0"/>
        <w:jc w:val="left"/>
      </w:pPr>
      <w:r>
        <w:rPr>
          <w:rFonts w:eastAsia="等线" w:ascii="Arial" w:cs="Arial" w:hAnsi="Arial"/>
          <w:sz w:val="22"/>
        </w:rPr>
        <w:t>天正日照分析软件模拟文件及模拟结果截图；</w:t>
      </w:r>
    </w:p>
    <w:p>
      <w:pPr>
        <w:numPr>
          <w:numId w:val="33"/>
        </w:numPr>
        <w:spacing w:before="120" w:after="120" w:line="288" w:lineRule="auto"/>
        <w:ind w:left="0"/>
        <w:jc w:val="left"/>
      </w:pPr>
      <w:r>
        <w:rPr>
          <w:rFonts w:eastAsia="等线" w:ascii="Arial" w:cs="Arial" w:hAnsi="Arial"/>
          <w:sz w:val="22"/>
        </w:rPr>
        <w:t>日照检测现场影像资料（含检测人员、检测设备、检测点）；</w:t>
      </w:r>
    </w:p>
    <w:p>
      <w:pPr>
        <w:numPr>
          <w:numId w:val="34"/>
        </w:numPr>
        <w:spacing w:before="120" w:after="120" w:line="288" w:lineRule="auto"/>
        <w:ind w:left="0"/>
        <w:jc w:val="left"/>
      </w:pPr>
      <w:r>
        <w:rPr>
          <w:rFonts w:eastAsia="等线" w:ascii="Arial" w:cs="Arial" w:hAnsi="Arial"/>
          <w:sz w:val="22"/>
        </w:rPr>
        <w:t>驻马店市2023年气象数据（日照时数相关）；</w:t>
      </w:r>
    </w:p>
    <w:p>
      <w:pPr>
        <w:numPr>
          <w:numId w:val="35"/>
        </w:numPr>
        <w:spacing w:before="120" w:after="120" w:line="288" w:lineRule="auto"/>
        <w:ind w:left="0"/>
        <w:jc w:val="left"/>
      </w:pPr>
      <w:r>
        <w:rPr>
          <w:rFonts w:eastAsia="等线" w:ascii="Arial" w:cs="Arial" w:hAnsi="Arial"/>
          <w:sz w:val="22"/>
        </w:rPr>
        <w:t>关联文档：驻马店博物馆绿建评价综合报告、绿色建材施工记录说明。</w:t>
      </w:r>
    </w:p>
    <w:p>
      <w:pPr>
        <w:pStyle w:val="2"/>
        <w:spacing w:before="320" w:after="120" w:line="288" w:lineRule="auto"/>
        <w:ind w:left="0"/>
        <w:jc w:val="left"/>
        <w:outlineLvl w:val="1"/>
      </w:pPr>
      <w:bookmarkStart w:name="heading_16" w:id="16"/>
      <w:r>
        <w:rPr>
          <w:rFonts w:eastAsia="等线" w:ascii="Arial" w:cs="Arial" w:hAnsi="Arial"/>
          <w:b w:val="true"/>
          <w:sz w:val="32"/>
        </w:rPr>
        <w:t>八、签字确认</w:t>
      </w:r>
      <w:bookmarkEnd w:id="16"/>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项目负责人（签字）：陈XX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盖章：驻马店博物馆</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日期：2024年8月8日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设计负责人（签字）：马XX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盖章：河南省建筑设计研究院有限公司</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日期：2024年8月7日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检测负责人（签字）：韩XX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盖章：驻马店市建筑工程质量检测中心</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日期：2024年8月6日</w:t>
            </w:r>
          </w:p>
        </w:tc>
      </w:tr>
    </w:tbl>
    <w:p>
      <w:pPr>
        <w:spacing w:before="120" w:after="120" w:line="288" w:lineRule="auto"/>
        <w:ind w:left="0"/>
        <w:jc w:val="left"/>
      </w:pPr>
      <w:r>
        <w:rPr>
          <w:rFonts w:eastAsia="等线" w:ascii="Arial" w:cs="Arial" w:hAnsi="Arial"/>
          <w:sz w:val="22"/>
        </w:rPr>
        <w:t>备注：1. 本报告一式6份，建设单位、设计单位、检测单位、绿建评价验收单位、档案管理单位、质量监督单位各留存1份，归档期限≥15年；2. 本报告自三方签字盖章之日起生效，具有相应法律效力，可作为绿建评价系统核查的核心佐证材料；3. 本报告对应所有佐证材料与本报告具有同等法律效力，一并作为绿建评价核查依据；4. 本报告数据仅适用于驻马店博物馆绿建评价使用，不得用于其他用途。</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7491238">
    <w:lvl>
      <w:start w:val="1"/>
      <w:numFmt w:val="decimal"/>
      <w:suff w:val="tab"/>
      <w:lvlText w:val="%1."/>
      <w:rPr>
        <w:color w:val="3370ff"/>
      </w:rPr>
    </w:lvl>
  </w:abstractNum>
  <w:abstractNum w:abstractNumId="7491239">
    <w:lvl>
      <w:start w:val="2"/>
      <w:numFmt w:val="decimal"/>
      <w:suff w:val="tab"/>
      <w:lvlText w:val="%1."/>
      <w:rPr>
        <w:color w:val="3370ff"/>
      </w:rPr>
    </w:lvl>
  </w:abstractNum>
  <w:abstractNum w:abstractNumId="7491240">
    <w:lvl>
      <w:start w:val="3"/>
      <w:numFmt w:val="decimal"/>
      <w:suff w:val="tab"/>
      <w:lvlText w:val="%1."/>
      <w:rPr>
        <w:color w:val="3370ff"/>
      </w:rPr>
    </w:lvl>
  </w:abstractNum>
  <w:abstractNum w:abstractNumId="7491241">
    <w:lvl>
      <w:start w:val="4"/>
      <w:numFmt w:val="decimal"/>
      <w:suff w:val="tab"/>
      <w:lvlText w:val="%1."/>
      <w:rPr>
        <w:color w:val="3370ff"/>
      </w:rPr>
    </w:lvl>
  </w:abstractNum>
  <w:abstractNum w:abstractNumId="7491242">
    <w:lvl>
      <w:start w:val="5"/>
      <w:numFmt w:val="decimal"/>
      <w:suff w:val="tab"/>
      <w:lvlText w:val="%1."/>
      <w:rPr>
        <w:color w:val="3370ff"/>
      </w:rPr>
    </w:lvl>
  </w:abstractNum>
  <w:abstractNum w:abstractNumId="7491243">
    <w:lvl>
      <w:start w:val="6"/>
      <w:numFmt w:val="decimal"/>
      <w:suff w:val="tab"/>
      <w:lvlText w:val="%1."/>
      <w:rPr>
        <w:color w:val="3370ff"/>
      </w:rPr>
    </w:lvl>
  </w:abstractNum>
  <w:abstractNum w:abstractNumId="7491244">
    <w:lvl>
      <w:start w:val="1"/>
      <w:numFmt w:val="decimal"/>
      <w:suff w:val="tab"/>
      <w:lvlText w:val="%1."/>
      <w:rPr>
        <w:color w:val="3370ff"/>
      </w:rPr>
    </w:lvl>
  </w:abstractNum>
  <w:abstractNum w:abstractNumId="7491245">
    <w:lvl>
      <w:start w:val="2"/>
      <w:numFmt w:val="decimal"/>
      <w:suff w:val="tab"/>
      <w:lvlText w:val="%1."/>
      <w:rPr>
        <w:color w:val="3370ff"/>
      </w:rPr>
    </w:lvl>
  </w:abstractNum>
  <w:abstractNum w:abstractNumId="7491246">
    <w:lvl>
      <w:start w:val="3"/>
      <w:numFmt w:val="decimal"/>
      <w:suff w:val="tab"/>
      <w:lvlText w:val="%1."/>
      <w:rPr>
        <w:color w:val="3370ff"/>
      </w:rPr>
    </w:lvl>
  </w:abstractNum>
  <w:abstractNum w:abstractNumId="7491247">
    <w:lvl>
      <w:start w:val="4"/>
      <w:numFmt w:val="decimal"/>
      <w:suff w:val="tab"/>
      <w:lvlText w:val="%1."/>
      <w:rPr>
        <w:color w:val="3370ff"/>
      </w:rPr>
    </w:lvl>
  </w:abstractNum>
  <w:abstractNum w:abstractNumId="7491248">
    <w:lvl>
      <w:start w:val="1"/>
      <w:numFmt w:val="decimal"/>
      <w:suff w:val="tab"/>
      <w:lvlText w:val="%1."/>
      <w:rPr>
        <w:color w:val="3370ff"/>
      </w:rPr>
    </w:lvl>
  </w:abstractNum>
  <w:abstractNum w:abstractNumId="7491249">
    <w:lvl>
      <w:start w:val="2"/>
      <w:numFmt w:val="decimal"/>
      <w:suff w:val="tab"/>
      <w:lvlText w:val="%1."/>
      <w:rPr>
        <w:color w:val="3370ff"/>
      </w:rPr>
    </w:lvl>
  </w:abstractNum>
  <w:abstractNum w:abstractNumId="7491250">
    <w:lvl>
      <w:start w:val="3"/>
      <w:numFmt w:val="decimal"/>
      <w:suff w:val="tab"/>
      <w:lvlText w:val="%1."/>
      <w:rPr>
        <w:color w:val="3370ff"/>
      </w:rPr>
    </w:lvl>
  </w:abstractNum>
  <w:abstractNum w:abstractNumId="7491251">
    <w:lvl>
      <w:start w:val="1"/>
      <w:numFmt w:val="decimal"/>
      <w:suff w:val="tab"/>
      <w:lvlText w:val="%1."/>
      <w:rPr>
        <w:color w:val="3370ff"/>
      </w:rPr>
    </w:lvl>
  </w:abstractNum>
  <w:abstractNum w:abstractNumId="7491252">
    <w:lvl>
      <w:start w:val="2"/>
      <w:numFmt w:val="decimal"/>
      <w:suff w:val="tab"/>
      <w:lvlText w:val="%1."/>
      <w:rPr>
        <w:color w:val="3370ff"/>
      </w:rPr>
    </w:lvl>
  </w:abstractNum>
  <w:abstractNum w:abstractNumId="7491253">
    <w:lvl>
      <w:start w:val="3"/>
      <w:numFmt w:val="decimal"/>
      <w:suff w:val="tab"/>
      <w:lvlText w:val="%1."/>
      <w:rPr>
        <w:color w:val="3370ff"/>
      </w:rPr>
    </w:lvl>
  </w:abstractNum>
  <w:abstractNum w:abstractNumId="7491254">
    <w:lvl>
      <w:start w:val="4"/>
      <w:numFmt w:val="decimal"/>
      <w:suff w:val="tab"/>
      <w:lvlText w:val="%1."/>
      <w:rPr>
        <w:color w:val="3370ff"/>
      </w:rPr>
    </w:lvl>
  </w:abstractNum>
  <w:abstractNum w:abstractNumId="7491255">
    <w:lvl>
      <w:start w:val="1"/>
      <w:numFmt w:val="decimal"/>
      <w:suff w:val="tab"/>
      <w:lvlText w:val="%1."/>
      <w:rPr>
        <w:color w:val="3370ff"/>
      </w:rPr>
    </w:lvl>
  </w:abstractNum>
  <w:abstractNum w:abstractNumId="7491256">
    <w:lvl>
      <w:start w:val="2"/>
      <w:numFmt w:val="decimal"/>
      <w:suff w:val="tab"/>
      <w:lvlText w:val="%1."/>
      <w:rPr>
        <w:color w:val="3370ff"/>
      </w:rPr>
    </w:lvl>
  </w:abstractNum>
  <w:abstractNum w:abstractNumId="7491257">
    <w:lvl>
      <w:start w:val="3"/>
      <w:numFmt w:val="decimal"/>
      <w:suff w:val="tab"/>
      <w:lvlText w:val="%1."/>
      <w:rPr>
        <w:color w:val="3370ff"/>
      </w:rPr>
    </w:lvl>
  </w:abstractNum>
  <w:abstractNum w:abstractNumId="7491258">
    <w:lvl>
      <w:start w:val="1"/>
      <w:numFmt w:val="decimal"/>
      <w:suff w:val="tab"/>
      <w:lvlText w:val="%1."/>
      <w:rPr>
        <w:color w:val="3370ff"/>
      </w:rPr>
    </w:lvl>
  </w:abstractNum>
  <w:abstractNum w:abstractNumId="7491259">
    <w:lvl>
      <w:start w:val="2"/>
      <w:numFmt w:val="decimal"/>
      <w:suff w:val="tab"/>
      <w:lvlText w:val="%1."/>
      <w:rPr>
        <w:color w:val="3370ff"/>
      </w:rPr>
    </w:lvl>
  </w:abstractNum>
  <w:abstractNum w:abstractNumId="7491260">
    <w:lvl>
      <w:start w:val="1"/>
      <w:numFmt w:val="decimal"/>
      <w:suff w:val="tab"/>
      <w:lvlText w:val="%1."/>
      <w:rPr>
        <w:color w:val="3370ff"/>
      </w:rPr>
    </w:lvl>
  </w:abstractNum>
  <w:abstractNum w:abstractNumId="7491261">
    <w:lvl>
      <w:start w:val="2"/>
      <w:numFmt w:val="decimal"/>
      <w:suff w:val="tab"/>
      <w:lvlText w:val="%1."/>
      <w:rPr>
        <w:color w:val="3370ff"/>
      </w:rPr>
    </w:lvl>
  </w:abstractNum>
  <w:abstractNum w:abstractNumId="7491262">
    <w:lvl>
      <w:start w:val="3"/>
      <w:numFmt w:val="decimal"/>
      <w:suff w:val="tab"/>
      <w:lvlText w:val="%1."/>
      <w:rPr>
        <w:color w:val="3370ff"/>
      </w:rPr>
    </w:lvl>
  </w:abstractNum>
  <w:abstractNum w:abstractNumId="7491263">
    <w:lvl>
      <w:start w:val="1"/>
      <w:numFmt w:val="decimal"/>
      <w:suff w:val="tab"/>
      <w:lvlText w:val="%1."/>
      <w:rPr>
        <w:color w:val="3370ff"/>
      </w:rPr>
    </w:lvl>
  </w:abstractNum>
  <w:abstractNum w:abstractNumId="7491264">
    <w:lvl>
      <w:start w:val="2"/>
      <w:numFmt w:val="decimal"/>
      <w:suff w:val="tab"/>
      <w:lvlText w:val="%1."/>
      <w:rPr>
        <w:color w:val="3370ff"/>
      </w:rPr>
    </w:lvl>
  </w:abstractNum>
  <w:abstractNum w:abstractNumId="7491265">
    <w:lvl>
      <w:start w:val="3"/>
      <w:numFmt w:val="decimal"/>
      <w:suff w:val="tab"/>
      <w:lvlText w:val="%1."/>
      <w:rPr>
        <w:color w:val="3370ff"/>
      </w:rPr>
    </w:lvl>
  </w:abstractNum>
  <w:abstractNum w:abstractNumId="7491266">
    <w:lvl>
      <w:start w:val="4"/>
      <w:numFmt w:val="decimal"/>
      <w:suff w:val="tab"/>
      <w:lvlText w:val="%1."/>
      <w:rPr>
        <w:color w:val="3370ff"/>
      </w:rPr>
    </w:lvl>
  </w:abstractNum>
  <w:abstractNum w:abstractNumId="7491267">
    <w:lvl>
      <w:start w:val="1"/>
      <w:numFmt w:val="decimal"/>
      <w:suff w:val="tab"/>
      <w:lvlText w:val="%1."/>
      <w:rPr>
        <w:color w:val="3370ff"/>
      </w:rPr>
    </w:lvl>
  </w:abstractNum>
  <w:abstractNum w:abstractNumId="7491268">
    <w:lvl>
      <w:start w:val="2"/>
      <w:numFmt w:val="decimal"/>
      <w:suff w:val="tab"/>
      <w:lvlText w:val="%1."/>
      <w:rPr>
        <w:color w:val="3370ff"/>
      </w:rPr>
    </w:lvl>
  </w:abstractNum>
  <w:abstractNum w:abstractNumId="7491269">
    <w:lvl>
      <w:start w:val="3"/>
      <w:numFmt w:val="decimal"/>
      <w:suff w:val="tab"/>
      <w:lvlText w:val="%1."/>
      <w:rPr>
        <w:color w:val="3370ff"/>
      </w:rPr>
    </w:lvl>
  </w:abstractNum>
  <w:abstractNum w:abstractNumId="7491270">
    <w:lvl>
      <w:start w:val="4"/>
      <w:numFmt w:val="decimal"/>
      <w:suff w:val="tab"/>
      <w:lvlText w:val="%1."/>
      <w:rPr>
        <w:color w:val="3370ff"/>
      </w:rPr>
    </w:lvl>
  </w:abstractNum>
  <w:abstractNum w:abstractNumId="7491271">
    <w:lvl>
      <w:start w:val="5"/>
      <w:numFmt w:val="decimal"/>
      <w:suff w:val="tab"/>
      <w:lvlText w:val="%1."/>
      <w:rPr>
        <w:color w:val="3370ff"/>
      </w:rPr>
    </w:lvl>
  </w:abstractNum>
  <w:abstractNum w:abstractNumId="7491272">
    <w:lvl>
      <w:start w:val="6"/>
      <w:numFmt w:val="decimal"/>
      <w:suff w:val="tab"/>
      <w:lvlText w:val="%1."/>
      <w:rPr>
        <w:color w:val="3370ff"/>
      </w:rPr>
    </w:lvl>
  </w:abstractNum>
  <w:num w:numId="1">
    <w:abstractNumId w:val="7491238"/>
  </w:num>
  <w:num w:numId="2">
    <w:abstractNumId w:val="7491239"/>
  </w:num>
  <w:num w:numId="3">
    <w:abstractNumId w:val="7491240"/>
  </w:num>
  <w:num w:numId="4">
    <w:abstractNumId w:val="7491241"/>
  </w:num>
  <w:num w:numId="5">
    <w:abstractNumId w:val="7491242"/>
  </w:num>
  <w:num w:numId="6">
    <w:abstractNumId w:val="7491243"/>
  </w:num>
  <w:num w:numId="7">
    <w:abstractNumId w:val="7491244"/>
  </w:num>
  <w:num w:numId="8">
    <w:abstractNumId w:val="7491245"/>
  </w:num>
  <w:num w:numId="9">
    <w:abstractNumId w:val="7491246"/>
  </w:num>
  <w:num w:numId="10">
    <w:abstractNumId w:val="7491247"/>
  </w:num>
  <w:num w:numId="11">
    <w:abstractNumId w:val="7491248"/>
  </w:num>
  <w:num w:numId="12">
    <w:abstractNumId w:val="7491249"/>
  </w:num>
  <w:num w:numId="13">
    <w:abstractNumId w:val="7491250"/>
  </w:num>
  <w:num w:numId="14">
    <w:abstractNumId w:val="7491251"/>
  </w:num>
  <w:num w:numId="15">
    <w:abstractNumId w:val="7491252"/>
  </w:num>
  <w:num w:numId="16">
    <w:abstractNumId w:val="7491253"/>
  </w:num>
  <w:num w:numId="17">
    <w:abstractNumId w:val="7491254"/>
  </w:num>
  <w:num w:numId="18">
    <w:abstractNumId w:val="7491255"/>
  </w:num>
  <w:num w:numId="19">
    <w:abstractNumId w:val="7491256"/>
  </w:num>
  <w:num w:numId="20">
    <w:abstractNumId w:val="7491257"/>
  </w:num>
  <w:num w:numId="21">
    <w:abstractNumId w:val="7491258"/>
  </w:num>
  <w:num w:numId="22">
    <w:abstractNumId w:val="7491259"/>
  </w:num>
  <w:num w:numId="23">
    <w:abstractNumId w:val="7491260"/>
  </w:num>
  <w:num w:numId="24">
    <w:abstractNumId w:val="7491261"/>
  </w:num>
  <w:num w:numId="25">
    <w:abstractNumId w:val="7491262"/>
  </w:num>
  <w:num w:numId="26">
    <w:abstractNumId w:val="7491263"/>
  </w:num>
  <w:num w:numId="27">
    <w:abstractNumId w:val="7491264"/>
  </w:num>
  <w:num w:numId="28">
    <w:abstractNumId w:val="7491265"/>
  </w:num>
  <w:num w:numId="29">
    <w:abstractNumId w:val="7491266"/>
  </w:num>
  <w:num w:numId="30">
    <w:abstractNumId w:val="7491267"/>
  </w:num>
  <w:num w:numId="31">
    <w:abstractNumId w:val="7491268"/>
  </w:num>
  <w:num w:numId="32">
    <w:abstractNumId w:val="7491269"/>
  </w:num>
  <w:num w:numId="33">
    <w:abstractNumId w:val="7491270"/>
  </w:num>
  <w:num w:numId="34">
    <w:abstractNumId w:val="7491271"/>
  </w:num>
  <w:num w:numId="35">
    <w:abstractNumId w:val="749127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2026-03-28T05:42:42Z</dcterms:created>
  <dc:creator>Apache POI</dc:creator>
</cp:coreProperties>
</file>