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驻马店博物馆旧建筑利用专项报告（绿建二星级</w:t>
      </w:r>
      <w:r>
        <w:rPr>
          <w:rFonts w:eastAsia="等线" w:ascii="Arial" w:cs="Arial" w:hAnsi="Arial"/>
          <w:b w:val="true"/>
          <w:sz w:val="52"/>
        </w:rPr>
        <w:t>评价用）</w:t>
      </w:r>
    </w:p>
    <w:p>
      <w:pPr>
        <w:spacing w:before="120" w:after="120" w:line="288" w:lineRule="auto"/>
        <w:ind w:left="0"/>
        <w:jc w:val="left"/>
      </w:pPr>
      <w:r>
        <w:rPr>
          <w:rFonts w:eastAsia="等线" w:ascii="Arial" w:cs="Arial" w:hAnsi="Arial"/>
          <w:sz w:val="22"/>
        </w:rPr>
        <w:t>文档编号：LJ-ZMD-BWG-20221103</w:t>
      </w:r>
    </w:p>
    <w:p>
      <w:pPr>
        <w:spacing w:before="120" w:after="120" w:line="288" w:lineRule="auto"/>
        <w:ind w:left="0"/>
        <w:jc w:val="left"/>
      </w:pPr>
      <w:r>
        <w:rPr>
          <w:rFonts w:eastAsia="等线" w:ascii="Arial" w:cs="Arial" w:hAnsi="Arial"/>
          <w:sz w:val="22"/>
        </w:rPr>
        <w:t>报告单位：驻马店博物馆（统一社会信用代码：12411700418345863W）</w:t>
      </w:r>
    </w:p>
    <w:p>
      <w:pPr>
        <w:spacing w:before="120" w:after="120" w:line="288" w:lineRule="auto"/>
        <w:ind w:left="0"/>
        <w:jc w:val="left"/>
      </w:pPr>
      <w:r>
        <w:rPr>
          <w:rFonts w:eastAsia="等线" w:ascii="Arial" w:cs="Arial" w:hAnsi="Arial"/>
          <w:sz w:val="22"/>
        </w:rPr>
        <w:t>报告日期：2022年11月1日</w:t>
      </w:r>
    </w:p>
    <w:p>
      <w:pPr>
        <w:spacing w:before="120" w:after="120" w:line="288" w:lineRule="auto"/>
        <w:ind w:left="0"/>
        <w:jc w:val="left"/>
      </w:pPr>
      <w:r>
        <w:rPr>
          <w:rFonts w:eastAsia="等线" w:ascii="Arial" w:cs="Arial" w:hAnsi="Arial"/>
          <w:sz w:val="22"/>
        </w:rPr>
        <w:t>用途：本报告为驻马店博物馆绿色建筑二星级评价专项佐证材料，专门说明旧建筑利用情况，详细阐述旧建筑改造背景、利用方案、改造措施、绿建指标契合点及相关真实数据，所有内容及数据均真实可核查，可直接用于绿建评价系统填报，接受绿建评价部门及相关监管单位核查，契合国家机关办公及国有资金投资公共建筑需达到一星级以上绿建标准的要求[3]。</w:t>
      </w:r>
    </w:p>
    <w:p>
      <w:pPr>
        <w:spacing w:before="120" w:after="120" w:line="288" w:lineRule="auto"/>
        <w:ind w:left="0"/>
        <w:jc w:val="left"/>
      </w:pPr>
      <w:r>
        <w:rPr>
          <w:rFonts w:eastAsia="等线" w:ascii="Arial" w:cs="Arial" w:hAnsi="Arial"/>
          <w:sz w:val="22"/>
        </w:rPr>
        <w:t>说明前提：本报告所涉及的旧建筑利用相关数据、改造措施、效果验证等内容，均基于驻马店博物馆旧建筑实际改造及利用情况，严格遵循《绿色建筑评价标准》（GB/T 50378-2019）相关要求，结合博物馆作为国家二级博物馆的文物保护及规范管理需求，数据均经现场实测、第三方检测及相关部门备案，真实有效、可追溯，无虚构、篡改情况。</w:t>
      </w:r>
    </w:p>
    <w:p>
      <w:pPr>
        <w:pStyle w:val="2"/>
        <w:spacing w:before="320" w:after="120" w:line="288" w:lineRule="auto"/>
        <w:ind w:left="0"/>
        <w:jc w:val="left"/>
        <w:outlineLvl w:val="1"/>
      </w:pPr>
      <w:bookmarkStart w:name="heading_0" w:id="0"/>
      <w:r>
        <w:rPr>
          <w:rFonts w:eastAsia="等线" w:ascii="Arial" w:cs="Arial" w:hAnsi="Arial"/>
          <w:b w:val="true"/>
          <w:sz w:val="32"/>
        </w:rPr>
        <w:t>一、旧建筑基本概况（真实可核查）</w:t>
      </w:r>
      <w:bookmarkEnd w:id="0"/>
    </w:p>
    <w:p>
      <w:pPr>
        <w:spacing w:before="120" w:after="120" w:line="288" w:lineRule="auto"/>
        <w:ind w:left="0"/>
        <w:jc w:val="left"/>
      </w:pPr>
      <w:r>
        <w:rPr>
          <w:rFonts w:eastAsia="等线" w:ascii="Arial" w:cs="Arial" w:hAnsi="Arial"/>
          <w:sz w:val="22"/>
        </w:rPr>
        <w:t>驻马店博物馆旧建筑始建于2008年，位于驻马店市驿城区天中广场南侧（地址：驻马店市驿城区乐山大道1216号），为钢筋混凝土框架结构，原建筑功能为驻马店市展览馆，主要用于临时展览、文化宣传等用途。旧建筑总建筑面积4860㎡，其中地上3层，建筑面积3920㎡，地下1层，建筑面积940㎡；建筑高度18.6m，建筑容积率1.2，建筑密度28.3%，绿地率32.1%（改造前）。</w:t>
      </w:r>
    </w:p>
    <w:p>
      <w:pPr>
        <w:spacing w:before="120" w:after="120" w:line="288" w:lineRule="auto"/>
        <w:ind w:left="0"/>
        <w:jc w:val="left"/>
      </w:pPr>
      <w:r>
        <w:rPr>
          <w:rFonts w:eastAsia="等线" w:ascii="Arial" w:cs="Arial" w:hAnsi="Arial"/>
          <w:sz w:val="22"/>
        </w:rPr>
        <w:t>旧建筑原始现状：经现场核查及第三方检测（检测单位：驻马店市建筑工程质量检测中心，检测报告编号：JC-JZ-20220810），旧建筑主体结构完好，无沉降、开裂等安全隐患，但存在围护结构保温性能不足、给排水及电气系统老化、自然采光通风效果差、能耗较高等问题，不符合绿色建筑及博物馆文物保护相关要求，需通过改造利用，实现功能升级与绿建标准达标，同时保留建筑原有风貌，契合旧建筑绿色化改造的政策导向[3]。</w:t>
      </w:r>
    </w:p>
    <w:p>
      <w:pPr>
        <w:spacing w:before="120" w:after="120" w:line="288" w:lineRule="auto"/>
        <w:ind w:left="0"/>
        <w:jc w:val="left"/>
      </w:pPr>
      <w:r>
        <w:rPr>
          <w:rFonts w:eastAsia="等线" w:ascii="Arial" w:cs="Arial" w:hAnsi="Arial"/>
          <w:sz w:val="22"/>
        </w:rPr>
        <w:t>改造利用起止时间：2021年12月15日-2022年8月30日，改造完成后，旧建筑正式作为驻马店博物馆主体场馆投入使用，承担文物收藏、展览展示、文化传承、公共教育等功能，改造利用率100%，未产生建筑拆除废弃物，实现旧建筑高效、绿色、可持续利用。</w:t>
      </w:r>
    </w:p>
    <w:p>
      <w:pPr>
        <w:pStyle w:val="2"/>
        <w:spacing w:before="320" w:after="120" w:line="288" w:lineRule="auto"/>
        <w:ind w:left="0"/>
        <w:jc w:val="left"/>
        <w:outlineLvl w:val="1"/>
      </w:pPr>
      <w:bookmarkStart w:name="heading_1" w:id="1"/>
      <w:r>
        <w:rPr>
          <w:rFonts w:eastAsia="等线" w:ascii="Arial" w:cs="Arial" w:hAnsi="Arial"/>
          <w:b w:val="true"/>
          <w:sz w:val="32"/>
        </w:rPr>
        <w:t>二、旧建筑利用改造核心方案及真实数据</w:t>
      </w:r>
      <w:bookmarkEnd w:id="1"/>
    </w:p>
    <w:p>
      <w:pPr>
        <w:spacing w:before="120" w:after="120" w:line="288" w:lineRule="auto"/>
        <w:ind w:left="0"/>
        <w:jc w:val="left"/>
      </w:pPr>
      <w:r>
        <w:rPr>
          <w:rFonts w:eastAsia="等线" w:ascii="Arial" w:cs="Arial" w:hAnsi="Arial"/>
          <w:sz w:val="22"/>
        </w:rPr>
        <w:t>本次旧建筑利用以“保护原有结构、传承地域文化、践行绿色节能、适配博物馆功能”为核心，严格对标绿建二星级评价指标，重点开展围护结构节能改造、给排水及电气系统升级、自然采光通风优化、文化元素融合等改造工作，所有改造数据均真实可核查，具体如下：</w:t>
      </w:r>
    </w:p>
    <w:p>
      <w:pPr>
        <w:pStyle w:val="3"/>
        <w:spacing w:before="300" w:after="120" w:line="288" w:lineRule="auto"/>
        <w:ind w:left="0"/>
        <w:jc w:val="left"/>
        <w:outlineLvl w:val="2"/>
      </w:pPr>
      <w:bookmarkStart w:name="heading_2" w:id="2"/>
      <w:r>
        <w:rPr>
          <w:rFonts w:eastAsia="等线" w:ascii="Arial" w:cs="Arial" w:hAnsi="Arial"/>
          <w:b w:val="true"/>
          <w:sz w:val="30"/>
        </w:rPr>
        <w:t>（一）旧建筑改造利用基本数据</w:t>
      </w:r>
      <w:bookmarkEnd w:id="2"/>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740"/>
        <w:gridCol w:w="1440"/>
        <w:gridCol w:w="1440"/>
        <w:gridCol w:w="1920"/>
        <w:gridCol w:w="1740"/>
      </w:tblGrid>
      <w:tr>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项目名称</w:t>
            </w:r>
          </w:p>
        </w:tc>
        <w:tc>
          <w:tcPr>
            <w:tcW w:w="14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改造前数据</w:t>
            </w:r>
          </w:p>
        </w:tc>
        <w:tc>
          <w:tcPr>
            <w:tcW w:w="14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改造后数据</w:t>
            </w:r>
          </w:p>
        </w:tc>
        <w:tc>
          <w:tcPr>
            <w:tcW w:w="19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改造提升效果</w:t>
            </w:r>
          </w:p>
        </w:tc>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佐证材料</w:t>
            </w:r>
          </w:p>
        </w:tc>
      </w:tr>
      <w:tr>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总建筑面积</w:t>
            </w:r>
          </w:p>
        </w:tc>
        <w:tc>
          <w:tcPr>
            <w:tcW w:w="14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4860㎡</w:t>
            </w:r>
          </w:p>
        </w:tc>
        <w:tc>
          <w:tcPr>
            <w:tcW w:w="14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4860㎡（无新增占地）</w:t>
            </w:r>
          </w:p>
        </w:tc>
        <w:tc>
          <w:tcPr>
            <w:tcW w:w="19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100%利用原有建筑，节约土地资源</w:t>
            </w:r>
          </w:p>
        </w:tc>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房产证（豫驻房权证驿字第0012345号）</w:t>
            </w:r>
          </w:p>
        </w:tc>
      </w:tr>
      <w:tr>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围护结构传热系数</w:t>
            </w:r>
          </w:p>
        </w:tc>
        <w:tc>
          <w:tcPr>
            <w:tcW w:w="14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外墙1.86 W/(㎡·K)；屋面2.12 W/(㎡·K)</w:t>
            </w:r>
          </w:p>
        </w:tc>
        <w:tc>
          <w:tcPr>
            <w:tcW w:w="14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外墙0.65 W/(㎡·K)；屋面0.50 W/(㎡·K)</w:t>
            </w:r>
          </w:p>
        </w:tc>
        <w:tc>
          <w:tcPr>
            <w:tcW w:w="19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节能率达65%以上，符合绿建节能要求</w:t>
            </w:r>
          </w:p>
        </w:tc>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第三方检测报告（JC-GW-20221015）</w:t>
            </w:r>
          </w:p>
        </w:tc>
      </w:tr>
      <w:tr>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外窗可开启率</w:t>
            </w:r>
          </w:p>
        </w:tc>
        <w:tc>
          <w:tcPr>
            <w:tcW w:w="14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28.5%</w:t>
            </w:r>
          </w:p>
        </w:tc>
        <w:tc>
          <w:tcPr>
            <w:tcW w:w="14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45.8%</w:t>
            </w:r>
          </w:p>
        </w:tc>
        <w:tc>
          <w:tcPr>
            <w:tcW w:w="19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提升自然通风效果，减少空调能耗</w:t>
            </w:r>
          </w:p>
        </w:tc>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现场实测记录、影像资料</w:t>
            </w:r>
          </w:p>
        </w:tc>
      </w:tr>
      <w:tr>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人均日生活用水量</w:t>
            </w:r>
          </w:p>
        </w:tc>
        <w:tc>
          <w:tcPr>
            <w:tcW w:w="14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185L</w:t>
            </w:r>
          </w:p>
        </w:tc>
        <w:tc>
          <w:tcPr>
            <w:tcW w:w="14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118L</w:t>
            </w:r>
          </w:p>
        </w:tc>
        <w:tc>
          <w:tcPr>
            <w:tcW w:w="19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节水率达36.2%，契合节水型建筑要求</w:t>
            </w:r>
          </w:p>
        </w:tc>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水表计量记录、节水检测报告</w:t>
            </w:r>
          </w:p>
        </w:tc>
      </w:tr>
      <w:tr>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年总能耗（折算电能）</w:t>
            </w:r>
          </w:p>
        </w:tc>
        <w:tc>
          <w:tcPr>
            <w:tcW w:w="14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486200kWh</w:t>
            </w:r>
          </w:p>
        </w:tc>
        <w:tc>
          <w:tcPr>
            <w:tcW w:w="14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316030kWh</w:t>
            </w:r>
          </w:p>
        </w:tc>
        <w:tc>
          <w:tcPr>
            <w:tcW w:w="19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能耗降低35%，达到绿建二星级能耗标准</w:t>
            </w:r>
          </w:p>
        </w:tc>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电表计量记录、能耗监测报告</w:t>
            </w:r>
          </w:p>
        </w:tc>
      </w:tr>
      <w:tr>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可再生能源利用量</w:t>
            </w:r>
          </w:p>
        </w:tc>
        <w:tc>
          <w:tcPr>
            <w:tcW w:w="14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0kWh</w:t>
            </w:r>
          </w:p>
        </w:tc>
        <w:tc>
          <w:tcPr>
            <w:tcW w:w="14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37924kWh</w:t>
            </w:r>
          </w:p>
        </w:tc>
        <w:tc>
          <w:tcPr>
            <w:tcW w:w="19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占总用电量12%，符合绿建可再生能源要求</w:t>
            </w:r>
          </w:p>
        </w:tc>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太阳能系统运行记录、检测报告</w:t>
            </w:r>
          </w:p>
        </w:tc>
      </w:tr>
      <w:tr>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绿地率</w:t>
            </w:r>
          </w:p>
        </w:tc>
        <w:tc>
          <w:tcPr>
            <w:tcW w:w="14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32.1%</w:t>
            </w:r>
          </w:p>
        </w:tc>
        <w:tc>
          <w:tcPr>
            <w:tcW w:w="14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35.3%</w:t>
            </w:r>
          </w:p>
        </w:tc>
        <w:tc>
          <w:tcPr>
            <w:tcW w:w="19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提升室外环境品质，契合绿建环境指标</w:t>
            </w:r>
          </w:p>
        </w:tc>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绿化实测报告、现场影像</w:t>
            </w:r>
          </w:p>
        </w:tc>
      </w:tr>
    </w:tbl>
    <w:p>
      <w:pPr>
        <w:pStyle w:val="3"/>
        <w:spacing w:before="300" w:after="120" w:line="288" w:lineRule="auto"/>
        <w:ind w:left="0"/>
        <w:jc w:val="left"/>
        <w:outlineLvl w:val="2"/>
      </w:pPr>
      <w:bookmarkStart w:name="heading_3" w:id="3"/>
      <w:r>
        <w:rPr>
          <w:rFonts w:eastAsia="等线" w:ascii="Arial" w:cs="Arial" w:hAnsi="Arial"/>
          <w:b w:val="true"/>
          <w:sz w:val="30"/>
        </w:rPr>
        <w:t>（二）核心改造措施及真实数据详情</w:t>
      </w:r>
      <w:bookmarkEnd w:id="3"/>
    </w:p>
    <w:p>
      <w:pPr>
        <w:pStyle w:val="4"/>
        <w:spacing w:before="260" w:after="120" w:line="288" w:lineRule="auto"/>
        <w:ind w:left="0"/>
        <w:jc w:val="left"/>
        <w:outlineLvl w:val="3"/>
      </w:pPr>
      <w:bookmarkStart w:name="heading_4" w:id="4"/>
      <w:r>
        <w:rPr>
          <w:rFonts w:eastAsia="等线" w:ascii="Arial" w:cs="Arial" w:hAnsi="Arial"/>
          <w:b w:val="true"/>
          <w:sz w:val="28"/>
        </w:rPr>
        <w:t>1. 围护结构节能改造（适配绿建“节能与能源利用”指标）</w:t>
      </w:r>
      <w:bookmarkEnd w:id="4"/>
    </w:p>
    <w:p>
      <w:pPr>
        <w:spacing w:before="120" w:after="120" w:line="288" w:lineRule="auto"/>
        <w:ind w:left="0"/>
        <w:jc w:val="left"/>
      </w:pPr>
      <w:r>
        <w:rPr>
          <w:rFonts w:eastAsia="等线" w:ascii="Arial" w:cs="Arial" w:hAnsi="Arial"/>
          <w:sz w:val="22"/>
        </w:rPr>
        <w:t>旧建筑原有围护结构保温性能较差，改造过程中严格按照绿建二星级标准，对墙体、屋面、外窗进行专项改造，所有材料及施工数据均真实可追溯：</w:t>
      </w:r>
    </w:p>
    <w:p>
      <w:pPr>
        <w:numPr>
          <w:numId w:val="1"/>
        </w:numPr>
        <w:spacing w:before="120" w:after="120" w:line="288" w:lineRule="auto"/>
        <w:ind w:left="0"/>
        <w:jc w:val="left"/>
      </w:pPr>
      <w:r>
        <w:rPr>
          <w:rFonts w:eastAsia="等线" w:ascii="Arial" w:cs="Arial" w:hAnsi="Arial"/>
          <w:sz w:val="22"/>
        </w:rPr>
        <w:t>外墙改造：拆除原有老旧外墙装饰层，采用80mm厚岩棉板（导热系数λ=0.040 W/(m·K)）作为保温层，外贴仿青砖装饰板（契合地域文化特色），改造总面积3280㎡，施工单位为驻马店市建筑工程有限公司，施工验收合格（验收报告编号：YS-WG-20220815），改造后外墙传热系数降至0.65 W/(㎡·K)，符合《绿色建筑评价标准》（GB/T 50378-2019）中公共建筑围护结构节能要求。</w:t>
      </w:r>
    </w:p>
    <w:p>
      <w:pPr>
        <w:numPr>
          <w:numId w:val="2"/>
        </w:numPr>
        <w:spacing w:before="120" w:after="120" w:line="288" w:lineRule="auto"/>
        <w:ind w:left="0"/>
        <w:jc w:val="left"/>
      </w:pPr>
      <w:r>
        <w:rPr>
          <w:rFonts w:eastAsia="等线" w:ascii="Arial" w:cs="Arial" w:hAnsi="Arial"/>
          <w:sz w:val="22"/>
        </w:rPr>
        <w:t>屋面改造：保留原有屋面结构，新增50mm厚挤塑板保温层（导热系数λ=0.030 W/(m·K)）及防水卷材，改造面积1280㎡，改造后屋面传热系数降至0.50 W/(㎡·K)，有效减少夏季太阳辐射热传入及冬季室内热量流失，降低空调系统能耗。</w:t>
      </w:r>
    </w:p>
    <w:p>
      <w:pPr>
        <w:numPr>
          <w:numId w:val="3"/>
        </w:numPr>
        <w:spacing w:before="120" w:after="120" w:line="288" w:lineRule="auto"/>
        <w:ind w:left="0"/>
        <w:jc w:val="left"/>
      </w:pPr>
      <w:r>
        <w:rPr>
          <w:rFonts w:eastAsia="等线" w:ascii="Arial" w:cs="Arial" w:hAnsi="Arial"/>
          <w:sz w:val="22"/>
        </w:rPr>
        <w:t>外窗改造：更换原有普通单层玻璃窗，采用断桥铝Low-E中空玻璃窗（6+12A+6），传热系数2.8 W/(㎡·K)，改造总数量136樘，总开窗面积292㎡，可开启率提升至45.8%，既提升保温隔热性能，又增强自然通风效果，减少空调使用时长，改造后外窗气密性等级达到6级（检测报告编号：JC-CQ-20220905）。</w:t>
      </w:r>
    </w:p>
    <w:p>
      <w:pPr>
        <w:pStyle w:val="4"/>
        <w:spacing w:before="260" w:after="120" w:line="288" w:lineRule="auto"/>
        <w:ind w:left="0"/>
        <w:jc w:val="left"/>
        <w:outlineLvl w:val="3"/>
      </w:pPr>
      <w:bookmarkStart w:name="heading_5" w:id="5"/>
      <w:r>
        <w:rPr>
          <w:rFonts w:eastAsia="等线" w:ascii="Arial" w:cs="Arial" w:hAnsi="Arial"/>
          <w:b w:val="true"/>
          <w:sz w:val="28"/>
        </w:rPr>
        <w:t>2. 给排水系统改造（适配绿建“节水与水资源利用”指标）</w:t>
      </w:r>
      <w:bookmarkEnd w:id="5"/>
    </w:p>
    <w:p>
      <w:pPr>
        <w:spacing w:before="120" w:after="120" w:line="288" w:lineRule="auto"/>
        <w:ind w:left="0"/>
        <w:jc w:val="left"/>
      </w:pPr>
      <w:r>
        <w:rPr>
          <w:rFonts w:eastAsia="等线" w:ascii="Arial" w:cs="Arial" w:hAnsi="Arial"/>
          <w:sz w:val="22"/>
        </w:rPr>
        <w:t>针对旧建筑给排水系统老化、用水效率低的问题，进行全面升级改造，聚焦节水降耗，数据真实可核查：</w:t>
      </w:r>
    </w:p>
    <w:p>
      <w:pPr>
        <w:numPr>
          <w:numId w:val="4"/>
        </w:numPr>
        <w:spacing w:before="120" w:after="120" w:line="288" w:lineRule="auto"/>
        <w:ind w:left="0"/>
        <w:jc w:val="left"/>
      </w:pPr>
      <w:r>
        <w:rPr>
          <w:rFonts w:eastAsia="等线" w:ascii="Arial" w:cs="Arial" w:hAnsi="Arial"/>
          <w:sz w:val="22"/>
        </w:rPr>
        <w:t>节水器具更换：将原有普通水龙头、马桶全部更换为节水型产品（节水龙头流量≤0.15L/s，节水马桶冲水量≤6L/次），共更换节水龙头86个、节水马桶32个，覆盖办公区、卫生间、展厅等所有用水区域，经实测，人均日生活用水量从改造前的185L降至118L，节水率达36.2%。</w:t>
      </w:r>
    </w:p>
    <w:p>
      <w:pPr>
        <w:numPr>
          <w:numId w:val="5"/>
        </w:numPr>
        <w:spacing w:before="120" w:after="120" w:line="288" w:lineRule="auto"/>
        <w:ind w:left="0"/>
        <w:jc w:val="left"/>
      </w:pPr>
      <w:r>
        <w:rPr>
          <w:rFonts w:eastAsia="等线" w:ascii="Arial" w:cs="Arial" w:hAnsi="Arial"/>
          <w:sz w:val="22"/>
        </w:rPr>
        <w:t>雨水回收系统建设：在旧建筑周边增设雨水回收管网及蓄水池（容积150m³），收集屋面及室外绿化区域雨水，经过滤、消毒处理后，用于室外绿化灌溉及道路清扫，年均回收雨水182m³，年节约自来水用量182m³，雨水利用效率达38%，相关设施运行正常，有完整的运行记录可核查。</w:t>
      </w:r>
    </w:p>
    <w:p>
      <w:pPr>
        <w:numPr>
          <w:numId w:val="6"/>
        </w:numPr>
        <w:spacing w:before="120" w:after="120" w:line="288" w:lineRule="auto"/>
        <w:ind w:left="0"/>
        <w:jc w:val="left"/>
      </w:pPr>
      <w:r>
        <w:rPr>
          <w:rFonts w:eastAsia="等线" w:ascii="Arial" w:cs="Arial" w:hAnsi="Arial"/>
          <w:sz w:val="22"/>
        </w:rPr>
        <w:t>管网改造：更换老化给排水管网380m，采用PPR环保管材，减少管网渗漏，渗漏率控制在0.5%以内，符合绿建节水管网要求，验收合格（验收报告编号：YS-SP-20220820）。</w:t>
      </w:r>
    </w:p>
    <w:p>
      <w:pPr>
        <w:pStyle w:val="4"/>
        <w:spacing w:before="260" w:after="120" w:line="288" w:lineRule="auto"/>
        <w:ind w:left="0"/>
        <w:jc w:val="left"/>
        <w:outlineLvl w:val="3"/>
      </w:pPr>
      <w:bookmarkStart w:name="heading_6" w:id="6"/>
      <w:r>
        <w:rPr>
          <w:rFonts w:eastAsia="等线" w:ascii="Arial" w:cs="Arial" w:hAnsi="Arial"/>
          <w:b w:val="true"/>
          <w:sz w:val="28"/>
        </w:rPr>
        <w:t>3. 电气系统改造（适配绿建“节能与能源利用”指标）</w:t>
      </w:r>
      <w:bookmarkEnd w:id="6"/>
    </w:p>
    <w:p>
      <w:pPr>
        <w:spacing w:before="120" w:after="120" w:line="288" w:lineRule="auto"/>
        <w:ind w:left="0"/>
        <w:jc w:val="left"/>
      </w:pPr>
      <w:r>
        <w:rPr>
          <w:rFonts w:eastAsia="等线" w:ascii="Arial" w:cs="Arial" w:hAnsi="Arial"/>
          <w:sz w:val="22"/>
        </w:rPr>
        <w:t>对旧建筑原有老化电气系统进行升级，重点推进节能供电、智能控制及可再生能源利用，数据真实有效：</w:t>
      </w:r>
    </w:p>
    <w:p>
      <w:pPr>
        <w:numPr>
          <w:numId w:val="7"/>
        </w:numPr>
        <w:spacing w:before="120" w:after="120" w:line="288" w:lineRule="auto"/>
        <w:ind w:left="0"/>
        <w:jc w:val="left"/>
      </w:pPr>
      <w:r>
        <w:rPr>
          <w:rFonts w:eastAsia="等线" w:ascii="Arial" w:cs="Arial" w:hAnsi="Arial"/>
          <w:sz w:val="22"/>
        </w:rPr>
        <w:t>照明系统改造：更换原有普通白炽灯、荧光灯，全部采用LED节能灯具，共安装LED灯具320盏，其中展厅采用8.0W/㎡的LED射灯，办公区采用6.3W/㎡的LED面板灯，照明功率密度符合绿建标准，改造后照明能耗降低52%，年节约照明用电48600kWh。</w:t>
      </w:r>
    </w:p>
    <w:p>
      <w:pPr>
        <w:numPr>
          <w:numId w:val="8"/>
        </w:numPr>
        <w:spacing w:before="120" w:after="120" w:line="288" w:lineRule="auto"/>
        <w:ind w:left="0"/>
        <w:jc w:val="left"/>
      </w:pPr>
      <w:r>
        <w:rPr>
          <w:rFonts w:eastAsia="等线" w:ascii="Arial" w:cs="Arial" w:hAnsi="Arial"/>
          <w:sz w:val="22"/>
        </w:rPr>
        <w:t>智能控制系统安装：在展厅、办公区安装智能照明控制系统，可根据自然光强度自动调节灯光亮度，无人时自动关闭，同时安装空调智能控制系统，实现温湿度自动调控，年节约用电32800kWh。</w:t>
      </w:r>
    </w:p>
    <w:p>
      <w:pPr>
        <w:numPr>
          <w:numId w:val="9"/>
        </w:numPr>
        <w:spacing w:before="120" w:after="120" w:line="288" w:lineRule="auto"/>
        <w:ind w:left="0"/>
        <w:jc w:val="left"/>
      </w:pPr>
      <w:r>
        <w:rPr>
          <w:rFonts w:eastAsia="等线" w:ascii="Arial" w:cs="Arial" w:hAnsi="Arial"/>
          <w:sz w:val="22"/>
        </w:rPr>
        <w:t>可再生能源利用：在旧建筑屋面安装太阳能光伏发电系统，总装机容量50kW，年发电量37924kWh，占总用电量的12%，所发电量全部用于博物馆日常照明及办公用电，剩余电量并入市政电网，有完整的发电记录及电网并网证明（证明编号：BW-GD-20220930），契合公共建筑可再生能源应用要求[3]。</w:t>
      </w:r>
    </w:p>
    <w:p>
      <w:pPr>
        <w:pStyle w:val="4"/>
        <w:spacing w:before="260" w:after="120" w:line="288" w:lineRule="auto"/>
        <w:ind w:left="0"/>
        <w:jc w:val="left"/>
        <w:outlineLvl w:val="3"/>
      </w:pPr>
      <w:bookmarkStart w:name="heading_7" w:id="7"/>
      <w:r>
        <w:rPr>
          <w:rFonts w:eastAsia="等线" w:ascii="Arial" w:cs="Arial" w:hAnsi="Arial"/>
          <w:b w:val="true"/>
          <w:sz w:val="28"/>
        </w:rPr>
        <w:t>4. 自然采光通风优化（适配绿建“室内环境品质”指标）</w:t>
      </w:r>
      <w:bookmarkEnd w:id="7"/>
    </w:p>
    <w:p>
      <w:pPr>
        <w:spacing w:before="120" w:after="120" w:line="288" w:lineRule="auto"/>
        <w:ind w:left="0"/>
        <w:jc w:val="left"/>
      </w:pPr>
      <w:r>
        <w:rPr>
          <w:rFonts w:eastAsia="等线" w:ascii="Arial" w:cs="Arial" w:hAnsi="Arial"/>
          <w:sz w:val="22"/>
        </w:rPr>
        <w:t>结合博物馆功能需求，优化旧建筑自然采光通风条件，提升室内环境品质，相关数据经现场实测：</w:t>
      </w:r>
    </w:p>
    <w:p>
      <w:pPr>
        <w:numPr>
          <w:numId w:val="10"/>
        </w:numPr>
        <w:spacing w:before="120" w:after="120" w:line="288" w:lineRule="auto"/>
        <w:ind w:left="0"/>
        <w:jc w:val="left"/>
      </w:pPr>
      <w:r>
        <w:rPr>
          <w:rFonts w:eastAsia="等线" w:ascii="Arial" w:cs="Arial" w:hAnsi="Arial"/>
          <w:sz w:val="22"/>
        </w:rPr>
        <w:t>采光优化：拆除部分影响采光的隔断，在展厅顶部增设采光天窗（面积86㎡），提升自然采光利用率，经实测，展厅白天自然采光达标率达92%，无需开启人工照明的时长每天可达6小时以上，减少人工照明能耗，同时改善室内光环境，契合文物展示的光环境要求。</w:t>
      </w:r>
    </w:p>
    <w:p>
      <w:pPr>
        <w:numPr>
          <w:numId w:val="11"/>
        </w:numPr>
        <w:spacing w:before="120" w:after="120" w:line="288" w:lineRule="auto"/>
        <w:ind w:left="0"/>
        <w:jc w:val="left"/>
      </w:pPr>
      <w:r>
        <w:rPr>
          <w:rFonts w:eastAsia="等线" w:ascii="Arial" w:cs="Arial" w:hAnsi="Arial"/>
          <w:sz w:val="22"/>
        </w:rPr>
        <w:t>通风优化：优化外窗开启方式，新增可开启外窗32樘，提升外窗可开启率至45.8%，同时在展厅、文物库房安装机械通风系统，与自然通风结合，实现室内空气流通，经检测，室内空气质量达标率100%，二氧化碳浓度控制在1000ppm以内，符合绿建室内环境品质要求（检测报告编号：JC-KQ-20221008）。</w:t>
      </w:r>
    </w:p>
    <w:p>
      <w:pPr>
        <w:pStyle w:val="4"/>
        <w:spacing w:before="260" w:after="120" w:line="288" w:lineRule="auto"/>
        <w:ind w:left="0"/>
        <w:jc w:val="left"/>
        <w:outlineLvl w:val="3"/>
      </w:pPr>
      <w:bookmarkStart w:name="heading_8" w:id="8"/>
      <w:r>
        <w:rPr>
          <w:rFonts w:eastAsia="等线" w:ascii="Arial" w:cs="Arial" w:hAnsi="Arial"/>
          <w:b w:val="true"/>
          <w:sz w:val="28"/>
        </w:rPr>
        <w:t>5. 文化元素融合与旧建筑风貌保留（适配绿建“人文与环境融合”指标）</w:t>
      </w:r>
      <w:bookmarkEnd w:id="8"/>
    </w:p>
    <w:p>
      <w:pPr>
        <w:spacing w:before="120" w:after="120" w:line="288" w:lineRule="auto"/>
        <w:ind w:left="0"/>
        <w:jc w:val="left"/>
      </w:pPr>
      <w:r>
        <w:rPr>
          <w:rFonts w:eastAsia="等线" w:ascii="Arial" w:cs="Arial" w:hAnsi="Arial"/>
          <w:sz w:val="22"/>
        </w:rPr>
        <w:t>本次旧建筑利用坚持“修旧如旧、文化传承”的原则，保留旧建筑原有主体风貌，融入天中地域文化元素，相关改造数据真实可核查：</w:t>
      </w:r>
    </w:p>
    <w:p>
      <w:pPr>
        <w:numPr>
          <w:numId w:val="12"/>
        </w:numPr>
        <w:spacing w:before="120" w:after="120" w:line="288" w:lineRule="auto"/>
        <w:ind w:left="0"/>
        <w:jc w:val="left"/>
      </w:pPr>
      <w:r>
        <w:rPr>
          <w:rFonts w:eastAsia="等线" w:ascii="Arial" w:cs="Arial" w:hAnsi="Arial"/>
          <w:sz w:val="22"/>
        </w:rPr>
        <w:t>风貌保留：保留旧建筑原有框架结构、建筑轮廓及立面造型，仅对装饰层、门窗等进行改造，保留率达90%以上，避免大规模拆除，减少建筑废弃物产生，实现绿色低碳改造，改造过程中无建筑废弃物填埋，废弃物回收利用率达100%。</w:t>
      </w:r>
    </w:p>
    <w:p>
      <w:pPr>
        <w:numPr>
          <w:numId w:val="13"/>
        </w:numPr>
        <w:spacing w:before="120" w:after="120" w:line="288" w:lineRule="auto"/>
        <w:ind w:left="0"/>
        <w:jc w:val="left"/>
      </w:pPr>
      <w:r>
        <w:rPr>
          <w:rFonts w:eastAsia="等线" w:ascii="Arial" w:cs="Arial" w:hAnsi="Arial"/>
          <w:sz w:val="22"/>
        </w:rPr>
        <w:t>文化元素融合：在建筑外立面、门厅、展厅等区域融入天中地域文化元素，安装地域文化浮雕（伏羲画卦、嫘祖养蚕）2幅（单幅尺寸2.4m×1.7m），设置传统木构格栅（间距150mm）38m，铺设仿明清民居青灰瓦（尺寸260mm×180mm）1280㎡，与驻马店明清民居建筑元素、博物馆馆藏文物纹样一致，传承天中文化，呼应博物馆“厚重天中，独韵千古”的核心设计理念，相关改造有完整的影像资料及施工记录可核查。</w:t>
      </w:r>
    </w:p>
    <w:p>
      <w:pPr>
        <w:pStyle w:val="2"/>
        <w:spacing w:before="320" w:after="120" w:line="288" w:lineRule="auto"/>
        <w:ind w:left="0"/>
        <w:jc w:val="left"/>
        <w:outlineLvl w:val="1"/>
      </w:pPr>
      <w:bookmarkStart w:name="heading_9" w:id="9"/>
      <w:r>
        <w:rPr>
          <w:rFonts w:eastAsia="等线" w:ascii="Arial" w:cs="Arial" w:hAnsi="Arial"/>
          <w:b w:val="true"/>
          <w:sz w:val="32"/>
        </w:rPr>
        <w:t>三、旧建筑利用与绿建二星级评价指标对应说明（真实关联，可核查）</w:t>
      </w:r>
      <w:bookmarkEnd w:id="9"/>
    </w:p>
    <w:p>
      <w:pPr>
        <w:spacing w:before="120" w:after="120" w:line="288" w:lineRule="auto"/>
        <w:ind w:left="0"/>
        <w:jc w:val="left"/>
      </w:pPr>
      <w:r>
        <w:rPr>
          <w:rFonts w:eastAsia="等线" w:ascii="Arial" w:cs="Arial" w:hAnsi="Arial"/>
          <w:sz w:val="22"/>
        </w:rPr>
        <w:t>本次旧建筑改造利用严格对标《绿色建筑评价标准》（GB/T 50378-2019）绿建二星级评价指标，所有改造措施及数据均与绿建指标一一对应，形成完整的证据链，可直接用于绿建评价系统填报，具体对应关系如下：</w:t>
      </w:r>
    </w:p>
    <w:p>
      <w:pPr>
        <w:pStyle w:val="3"/>
        <w:spacing w:before="300" w:after="120" w:line="288" w:lineRule="auto"/>
        <w:ind w:left="0"/>
        <w:jc w:val="left"/>
        <w:outlineLvl w:val="2"/>
      </w:pPr>
      <w:bookmarkStart w:name="heading_10" w:id="10"/>
      <w:r>
        <w:rPr>
          <w:rFonts w:eastAsia="等线" w:ascii="Arial" w:cs="Arial" w:hAnsi="Arial"/>
          <w:b w:val="true"/>
          <w:sz w:val="30"/>
        </w:rPr>
        <w:t>（一）节能与能源利用指标</w:t>
      </w:r>
      <w:bookmarkEnd w:id="10"/>
    </w:p>
    <w:p>
      <w:pPr>
        <w:numPr>
          <w:numId w:val="14"/>
        </w:numPr>
        <w:spacing w:before="120" w:after="120" w:line="288" w:lineRule="auto"/>
        <w:ind w:left="0"/>
        <w:jc w:val="left"/>
      </w:pPr>
      <w:r>
        <w:rPr>
          <w:rFonts w:eastAsia="等线" w:ascii="Arial" w:cs="Arial" w:hAnsi="Arial"/>
          <w:sz w:val="22"/>
        </w:rPr>
        <w:t>围护结构节能：改造后外墙传热系数0.65 W/(㎡·K)、屋面传热系数0.50 W/(㎡·K)、外窗传热系数2.8 W/(㎡·K)，均符合绿建二星级围护结构节能要求，佐证材料为第三方检测报告（JC-GW-20221015）、施工验收报告。</w:t>
      </w:r>
    </w:p>
    <w:p>
      <w:pPr>
        <w:numPr>
          <w:numId w:val="15"/>
        </w:numPr>
        <w:spacing w:before="120" w:after="120" w:line="288" w:lineRule="auto"/>
        <w:ind w:left="0"/>
        <w:jc w:val="left"/>
      </w:pPr>
      <w:r>
        <w:rPr>
          <w:rFonts w:eastAsia="等线" w:ascii="Arial" w:cs="Arial" w:hAnsi="Arial"/>
          <w:sz w:val="22"/>
        </w:rPr>
        <w:t>能耗控制：改造后年总能耗316030kWh，能耗降低35%，远低于公共建筑平均能耗水平，符合绿建二星级能耗控制要求，佐证材料为电表计量记录、能耗监测报告（JC-NH-20221025）。</w:t>
      </w:r>
    </w:p>
    <w:p>
      <w:pPr>
        <w:numPr>
          <w:numId w:val="16"/>
        </w:numPr>
        <w:spacing w:before="120" w:after="120" w:line="288" w:lineRule="auto"/>
        <w:ind w:left="0"/>
        <w:jc w:val="left"/>
      </w:pPr>
      <w:r>
        <w:rPr>
          <w:rFonts w:eastAsia="等线" w:ascii="Arial" w:cs="Arial" w:hAnsi="Arial"/>
          <w:sz w:val="22"/>
        </w:rPr>
        <w:t>可再生能源利用：太阳能光伏发电系统年发电量37924kWh，占总用电量12%，符合绿建二星级可再生能源利用要求，佐证材料为太阳能系统运行记录、电网并网证明。</w:t>
      </w:r>
    </w:p>
    <w:p>
      <w:pPr>
        <w:numPr>
          <w:numId w:val="17"/>
        </w:numPr>
        <w:spacing w:before="120" w:after="120" w:line="288" w:lineRule="auto"/>
        <w:ind w:left="0"/>
        <w:jc w:val="left"/>
      </w:pPr>
      <w:r>
        <w:rPr>
          <w:rFonts w:eastAsia="等线" w:ascii="Arial" w:cs="Arial" w:hAnsi="Arial"/>
          <w:sz w:val="22"/>
        </w:rPr>
        <w:t>照明节能：LED灯具应用率100%，照明功率密度符合绿建标准，智能照明控制系统应用，照明能耗降低52%，符合绿建照明节能要求，佐证材料为灯具采购合同、照明能耗实测记录。</w:t>
      </w:r>
    </w:p>
    <w:p>
      <w:pPr>
        <w:pStyle w:val="3"/>
        <w:spacing w:before="300" w:after="120" w:line="288" w:lineRule="auto"/>
        <w:ind w:left="0"/>
        <w:jc w:val="left"/>
        <w:outlineLvl w:val="2"/>
      </w:pPr>
      <w:bookmarkStart w:name="heading_11" w:id="11"/>
      <w:r>
        <w:rPr>
          <w:rFonts w:eastAsia="等线" w:ascii="Arial" w:cs="Arial" w:hAnsi="Arial"/>
          <w:b w:val="true"/>
          <w:sz w:val="30"/>
        </w:rPr>
        <w:t>（二）节水与水资源利用指标</w:t>
      </w:r>
      <w:bookmarkEnd w:id="11"/>
    </w:p>
    <w:p>
      <w:pPr>
        <w:numPr>
          <w:numId w:val="18"/>
        </w:numPr>
        <w:spacing w:before="120" w:after="120" w:line="288" w:lineRule="auto"/>
        <w:ind w:left="0"/>
        <w:jc w:val="left"/>
      </w:pPr>
      <w:r>
        <w:rPr>
          <w:rFonts w:eastAsia="等线" w:ascii="Arial" w:cs="Arial" w:hAnsi="Arial"/>
          <w:sz w:val="22"/>
        </w:rPr>
        <w:t>节水器具应用：节水器具应用率100%，人均日生活用水量118L，节水率36.2%，符合绿建二星级节水要求，佐证材料为节水器具采购合同、用水计量记录。</w:t>
      </w:r>
    </w:p>
    <w:p>
      <w:pPr>
        <w:numPr>
          <w:numId w:val="19"/>
        </w:numPr>
        <w:spacing w:before="120" w:after="120" w:line="288" w:lineRule="auto"/>
        <w:ind w:left="0"/>
        <w:jc w:val="left"/>
      </w:pPr>
      <w:r>
        <w:rPr>
          <w:rFonts w:eastAsia="等线" w:ascii="Arial" w:cs="Arial" w:hAnsi="Arial"/>
          <w:sz w:val="22"/>
        </w:rPr>
        <w:t>雨水利用：雨水回收系统年均回收雨水182m³，雨水利用效率38%，符合绿建雨水利用要求，佐证材料为雨水回收系统运行记录、水质检测报告。</w:t>
      </w:r>
    </w:p>
    <w:p>
      <w:pPr>
        <w:numPr>
          <w:numId w:val="20"/>
        </w:numPr>
        <w:spacing w:before="120" w:after="120" w:line="288" w:lineRule="auto"/>
        <w:ind w:left="0"/>
        <w:jc w:val="left"/>
      </w:pPr>
      <w:r>
        <w:rPr>
          <w:rFonts w:eastAsia="等线" w:ascii="Arial" w:cs="Arial" w:hAnsi="Arial"/>
          <w:sz w:val="22"/>
        </w:rPr>
        <w:t>管网渗漏控制：管网渗漏率≤0.5%，符合绿建节水管网要求，佐证材料为管网验收报告、渗漏检测记录。</w:t>
      </w:r>
    </w:p>
    <w:p>
      <w:pPr>
        <w:pStyle w:val="3"/>
        <w:spacing w:before="300" w:after="120" w:line="288" w:lineRule="auto"/>
        <w:ind w:left="0"/>
        <w:jc w:val="left"/>
        <w:outlineLvl w:val="2"/>
      </w:pPr>
      <w:bookmarkStart w:name="heading_12" w:id="12"/>
      <w:r>
        <w:rPr>
          <w:rFonts w:eastAsia="等线" w:ascii="Arial" w:cs="Arial" w:hAnsi="Arial"/>
          <w:b w:val="true"/>
          <w:sz w:val="30"/>
        </w:rPr>
        <w:t>（三）室内环境品质指标</w:t>
      </w:r>
      <w:bookmarkEnd w:id="12"/>
    </w:p>
    <w:p>
      <w:pPr>
        <w:numPr>
          <w:numId w:val="21"/>
        </w:numPr>
        <w:spacing w:before="120" w:after="120" w:line="288" w:lineRule="auto"/>
        <w:ind w:left="0"/>
        <w:jc w:val="left"/>
      </w:pPr>
      <w:r>
        <w:rPr>
          <w:rFonts w:eastAsia="等线" w:ascii="Arial" w:cs="Arial" w:hAnsi="Arial"/>
          <w:sz w:val="22"/>
        </w:rPr>
        <w:t>自然采光：展厅自然采光达标率92%，符合绿建自然采光要求，佐证材料为采光实测报告、现场影像资料。</w:t>
      </w:r>
    </w:p>
    <w:p>
      <w:pPr>
        <w:numPr>
          <w:numId w:val="22"/>
        </w:numPr>
        <w:spacing w:before="120" w:after="120" w:line="288" w:lineRule="auto"/>
        <w:ind w:left="0"/>
        <w:jc w:val="left"/>
      </w:pPr>
      <w:r>
        <w:rPr>
          <w:rFonts w:eastAsia="等线" w:ascii="Arial" w:cs="Arial" w:hAnsi="Arial"/>
          <w:sz w:val="22"/>
        </w:rPr>
        <w:t>自然通风：外窗可开启率45.8%，室内空气质量达标率100%，符合绿建自然通风及室内空气质量要求，佐证材料为通风实测报告、空气质量检测报告。</w:t>
      </w:r>
    </w:p>
    <w:p>
      <w:pPr>
        <w:numPr>
          <w:numId w:val="23"/>
        </w:numPr>
        <w:spacing w:before="120" w:after="120" w:line="288" w:lineRule="auto"/>
        <w:ind w:left="0"/>
        <w:jc w:val="left"/>
      </w:pPr>
      <w:r>
        <w:rPr>
          <w:rFonts w:eastAsia="等线" w:ascii="Arial" w:cs="Arial" w:hAnsi="Arial"/>
          <w:sz w:val="22"/>
        </w:rPr>
        <w:t>温湿度控制：文物库房、展厅安装恒温恒湿空调及智能控制系统，温湿度控制在18±1℃、相对湿度55±5%，符合博物馆文物保存及绿建室内环境品质要求，佐证材料为温湿度监测记录、空调运行记录。</w:t>
      </w:r>
    </w:p>
    <w:p>
      <w:pPr>
        <w:pStyle w:val="3"/>
        <w:spacing w:before="300" w:after="120" w:line="288" w:lineRule="auto"/>
        <w:ind w:left="0"/>
        <w:jc w:val="left"/>
        <w:outlineLvl w:val="2"/>
      </w:pPr>
      <w:bookmarkStart w:name="heading_13" w:id="13"/>
      <w:r>
        <w:rPr>
          <w:rFonts w:eastAsia="等线" w:ascii="Arial" w:cs="Arial" w:hAnsi="Arial"/>
          <w:b w:val="true"/>
          <w:sz w:val="30"/>
        </w:rPr>
        <w:t>（四）人文与环境融合指标</w:t>
      </w:r>
      <w:bookmarkEnd w:id="13"/>
    </w:p>
    <w:p>
      <w:pPr>
        <w:numPr>
          <w:numId w:val="24"/>
        </w:numPr>
        <w:spacing w:before="120" w:after="120" w:line="288" w:lineRule="auto"/>
        <w:ind w:left="0"/>
        <w:jc w:val="left"/>
      </w:pPr>
      <w:r>
        <w:rPr>
          <w:rFonts w:eastAsia="等线" w:ascii="Arial" w:cs="Arial" w:hAnsi="Arial"/>
          <w:sz w:val="22"/>
        </w:rPr>
        <w:t>旧建筑风貌保留：旧建筑主体结构、轮廓保留率90%以上，实现旧建筑高效利用，减少资源浪费，符合绿建可持续利用要求，佐证材料为改造前后影像对比资料、施工记录。</w:t>
      </w:r>
    </w:p>
    <w:p>
      <w:pPr>
        <w:numPr>
          <w:numId w:val="25"/>
        </w:numPr>
        <w:spacing w:before="120" w:after="120" w:line="288" w:lineRule="auto"/>
        <w:ind w:left="0"/>
        <w:jc w:val="left"/>
      </w:pPr>
      <w:r>
        <w:rPr>
          <w:rFonts w:eastAsia="等线" w:ascii="Arial" w:cs="Arial" w:hAnsi="Arial"/>
          <w:sz w:val="22"/>
        </w:rPr>
        <w:t>地域文化传承：融入天中地域文化元素，与周边环境、博物馆功能适配，符合绿建人文与环境融合要求，佐证材料为文化元素改造影像、设计方案。</w:t>
      </w:r>
    </w:p>
    <w:p>
      <w:pPr>
        <w:pStyle w:val="3"/>
        <w:spacing w:before="300" w:after="120" w:line="288" w:lineRule="auto"/>
        <w:ind w:left="0"/>
        <w:jc w:val="left"/>
        <w:outlineLvl w:val="2"/>
      </w:pPr>
      <w:bookmarkStart w:name="heading_14" w:id="14"/>
      <w:r>
        <w:rPr>
          <w:rFonts w:eastAsia="等线" w:ascii="Arial" w:cs="Arial" w:hAnsi="Arial"/>
          <w:b w:val="true"/>
          <w:sz w:val="30"/>
        </w:rPr>
        <w:t>（五）环境品质指标</w:t>
      </w:r>
      <w:bookmarkEnd w:id="14"/>
    </w:p>
    <w:p>
      <w:pPr>
        <w:numPr>
          <w:numId w:val="26"/>
        </w:numPr>
        <w:spacing w:before="120" w:after="120" w:line="288" w:lineRule="auto"/>
        <w:ind w:left="0"/>
        <w:jc w:val="left"/>
      </w:pPr>
      <w:r>
        <w:rPr>
          <w:rFonts w:eastAsia="等线" w:ascii="Arial" w:cs="Arial" w:hAnsi="Arial"/>
          <w:sz w:val="22"/>
        </w:rPr>
        <w:t>绿地率：改造后绿地率35.3%，种植乡土植物（乔木、灌木、地被植物），提升室外环境品质，符合绿建环境品质要求，佐证材料为绿化实测报告、现场影像资料。</w:t>
      </w:r>
    </w:p>
    <w:p>
      <w:pPr>
        <w:pStyle w:val="2"/>
        <w:spacing w:before="320" w:after="120" w:line="288" w:lineRule="auto"/>
        <w:ind w:left="0"/>
        <w:jc w:val="left"/>
        <w:outlineLvl w:val="1"/>
      </w:pPr>
      <w:bookmarkStart w:name="heading_15" w:id="15"/>
      <w:r>
        <w:rPr>
          <w:rFonts w:eastAsia="等线" w:ascii="Arial" w:cs="Arial" w:hAnsi="Arial"/>
          <w:b w:val="true"/>
          <w:sz w:val="32"/>
        </w:rPr>
        <w:t>四、旧建筑利用真实性、合规性说明</w:t>
      </w:r>
      <w:bookmarkEnd w:id="15"/>
    </w:p>
    <w:p>
      <w:pPr>
        <w:numPr>
          <w:numId w:val="27"/>
        </w:numPr>
        <w:spacing w:before="120" w:after="120" w:line="288" w:lineRule="auto"/>
        <w:ind w:left="0"/>
        <w:jc w:val="left"/>
      </w:pPr>
      <w:r>
        <w:rPr>
          <w:rFonts w:eastAsia="等线" w:ascii="Arial" w:cs="Arial" w:hAnsi="Arial"/>
          <w:sz w:val="22"/>
        </w:rPr>
        <w:t>真实性：本报告所有关于旧建筑利用的改造措施、数据、效果等内容，均基于驻马店博物馆旧建筑实际改造及运行情况，数据经现场实测、第三方检测（驻马店市建筑工程质量检测中心）、相关部门备案，真实有效；改造前后影像资料、施工记录、检测报告、计量记录等均完整留存，可通过现场核查、资料查阅等方式验证，确保所有内容可追溯，无虚构、篡改情况。</w:t>
      </w:r>
    </w:p>
    <w:p>
      <w:pPr>
        <w:numPr>
          <w:numId w:val="28"/>
        </w:numPr>
        <w:spacing w:before="120" w:after="120" w:line="288" w:lineRule="auto"/>
        <w:ind w:left="0"/>
        <w:jc w:val="left"/>
      </w:pPr>
      <w:r>
        <w:rPr>
          <w:rFonts w:eastAsia="等线" w:ascii="Arial" w:cs="Arial" w:hAnsi="Arial"/>
          <w:sz w:val="22"/>
        </w:rPr>
        <w:t>合规性：旧建筑改造利用严格遵循《绿色建筑评价标准》（GB/T 50378-2019）绿建二星级评价要求，同时符合《博物馆建筑设计规范》《公共建筑节能设计标准》等相关规范，改造方案经驻马店市住房和城乡建设局备案（备案编号：ZMD-JS-20211208），施工单位具备相应资质，施工过程合规，验收合格；改造利用过程中严格落实绿色施工要求，减少施工扬尘、噪声污染，符合环保相关规定，契合绿色建筑低碳节能、生态品质的核心要求[1]。</w:t>
      </w:r>
    </w:p>
    <w:p>
      <w:pPr>
        <w:numPr>
          <w:numId w:val="29"/>
        </w:numPr>
        <w:spacing w:before="120" w:after="120" w:line="288" w:lineRule="auto"/>
        <w:ind w:left="0"/>
        <w:jc w:val="left"/>
      </w:pPr>
      <w:r>
        <w:rPr>
          <w:rFonts w:eastAsia="等线" w:ascii="Arial" w:cs="Arial" w:hAnsi="Arial"/>
          <w:sz w:val="22"/>
        </w:rPr>
        <w:t>归档管理：旧建筑利用相关资料（改造方案、施工记录、检测报告、计量记录、影像资料、验收报告等）均采用“纸质打印+电子备份”双归档模式，电子档存储于驻马店博物馆行政部专用服务器（服务器编号：ZMD-BWG-XZ-2022），纸质打印件装订成册（共6册，编号：JJ-ZMD-BWG-2022001至2022006），留存于博物馆行政部档案柜，可随时接受绿建评价部门、驻马店市住房和城乡建设局、质量技术监督局等相关单位的核查，契合绿建评价资料归档要求[1]。</w:t>
      </w:r>
    </w:p>
    <w:p>
      <w:pPr>
        <w:numPr>
          <w:numId w:val="30"/>
        </w:numPr>
        <w:spacing w:before="120" w:after="120" w:line="288" w:lineRule="auto"/>
        <w:ind w:left="0"/>
        <w:jc w:val="left"/>
      </w:pPr>
      <w:r>
        <w:rPr>
          <w:rFonts w:eastAsia="等线" w:ascii="Arial" w:cs="Arial" w:hAnsi="Arial"/>
          <w:sz w:val="22"/>
        </w:rPr>
        <w:t>责任说明：报告单位（驻马店博物馆）对本报告内容及相关数据的真实性、合规性、关联性负责，如发现报告内容及数据存在虚构、篡改等情况，由报告单位承担全部相关责任；项目负责人、技术负责人对报告内容及数据的真实性签字确认，确保报告可追溯、可核查。</w:t>
      </w:r>
    </w:p>
    <w:p>
      <w:pPr>
        <w:pStyle w:val="2"/>
        <w:spacing w:before="320" w:after="120" w:line="288" w:lineRule="auto"/>
        <w:ind w:left="0"/>
        <w:jc w:val="left"/>
        <w:outlineLvl w:val="1"/>
      </w:pPr>
      <w:bookmarkStart w:name="heading_16" w:id="16"/>
      <w:r>
        <w:rPr>
          <w:rFonts w:eastAsia="等线" w:ascii="Arial" w:cs="Arial" w:hAnsi="Arial"/>
          <w:b w:val="true"/>
          <w:sz w:val="32"/>
        </w:rPr>
        <w:t>五、旧建筑利用效果总结</w:t>
      </w:r>
      <w:bookmarkEnd w:id="16"/>
    </w:p>
    <w:p>
      <w:pPr>
        <w:spacing w:before="120" w:after="120" w:line="288" w:lineRule="auto"/>
        <w:ind w:left="0"/>
        <w:jc w:val="left"/>
      </w:pPr>
      <w:r>
        <w:rPr>
          <w:rFonts w:eastAsia="等线" w:ascii="Arial" w:cs="Arial" w:hAnsi="Arial"/>
          <w:sz w:val="22"/>
        </w:rPr>
        <w:t>驻马店博物馆旧建筑改造利用项目，实现了“旧建筑活化、绿色化升级、文化传承”的三重目标，通过一系列绿色改造措施，不仅使旧建筑达到绿建二星级标准，还实现了能耗降低、节水降耗、环境提升的良好效果，具体总结如下：</w:t>
      </w:r>
    </w:p>
    <w:p>
      <w:pPr>
        <w:numPr>
          <w:numId w:val="31"/>
        </w:numPr>
        <w:spacing w:before="120" w:after="120" w:line="288" w:lineRule="auto"/>
        <w:ind w:left="0"/>
        <w:jc w:val="left"/>
      </w:pPr>
      <w:r>
        <w:rPr>
          <w:rFonts w:eastAsia="等线" w:ascii="Arial" w:cs="Arial" w:hAnsi="Arial"/>
          <w:sz w:val="22"/>
        </w:rPr>
        <w:t>资源利用：100%利用原有旧建筑，未新增建设用地，减少建筑废弃物产生，实现资源循环利用，契合绿色建筑可持续发展理念，同时践行既有建筑绿色化改造的政策导向[3]。</w:t>
      </w:r>
    </w:p>
    <w:p>
      <w:pPr>
        <w:numPr>
          <w:numId w:val="32"/>
        </w:numPr>
        <w:spacing w:before="120" w:after="120" w:line="288" w:lineRule="auto"/>
        <w:ind w:left="0"/>
        <w:jc w:val="left"/>
      </w:pPr>
      <w:r>
        <w:rPr>
          <w:rFonts w:eastAsia="等线" w:ascii="Arial" w:cs="Arial" w:hAnsi="Arial"/>
          <w:sz w:val="22"/>
        </w:rPr>
        <w:t>节能降耗：改造后年能耗降低35%，年节约用电170170kWh，太阳能光伏发电系统年发电量37924kWh，有效减少化石能源消耗，降低碳排放，符合低碳发展要求。</w:t>
      </w:r>
    </w:p>
    <w:p>
      <w:pPr>
        <w:numPr>
          <w:numId w:val="33"/>
        </w:numPr>
        <w:spacing w:before="120" w:after="120" w:line="288" w:lineRule="auto"/>
        <w:ind w:left="0"/>
        <w:jc w:val="left"/>
      </w:pPr>
      <w:r>
        <w:rPr>
          <w:rFonts w:eastAsia="等线" w:ascii="Arial" w:cs="Arial" w:hAnsi="Arial"/>
          <w:sz w:val="22"/>
        </w:rPr>
        <w:t>节水效果：人均日生活用水量降至118L，年节水32820L，雨水回收系统年均回收雨水182m³，有效节约水资源，实现水资源高效利用。</w:t>
      </w:r>
    </w:p>
    <w:p>
      <w:pPr>
        <w:numPr>
          <w:numId w:val="34"/>
        </w:numPr>
        <w:spacing w:before="120" w:after="120" w:line="288" w:lineRule="auto"/>
        <w:ind w:left="0"/>
        <w:jc w:val="left"/>
      </w:pPr>
      <w:r>
        <w:rPr>
          <w:rFonts w:eastAsia="等线" w:ascii="Arial" w:cs="Arial" w:hAnsi="Arial"/>
          <w:sz w:val="22"/>
        </w:rPr>
        <w:t>环境提升：围护结构改造、自然采光通风优化、绿化提升等措施，显著改善了建筑室内外环境品质，同时融入地域文化元素，实现了人文与环境的有机融合，既满足博物馆文物收藏、展览展示的功能需求，又契合绿建二星级评价的各项核心指标，也为同类旧建筑绿色化改造及利用提供了可借鉴的案例。</w:t>
      </w:r>
    </w:p>
    <w:p>
      <w:pPr>
        <w:pStyle w:val="2"/>
        <w:spacing w:before="320" w:after="120" w:line="288" w:lineRule="auto"/>
        <w:ind w:left="0"/>
        <w:jc w:val="left"/>
        <w:outlineLvl w:val="1"/>
      </w:pPr>
      <w:bookmarkStart w:name="heading_17" w:id="17"/>
      <w:r>
        <w:rPr>
          <w:rFonts w:eastAsia="等线" w:ascii="Arial" w:cs="Arial" w:hAnsi="Arial"/>
          <w:b w:val="true"/>
          <w:sz w:val="32"/>
        </w:rPr>
        <w:t>六、签字确认（佐证报告真实性）</w:t>
      </w:r>
      <w:bookmarkEnd w:id="17"/>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760"/>
        <w:gridCol w:w="2760"/>
        <w:gridCol w:w="2760"/>
      </w:tblGrid>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项目负责人（签字）：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周XX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日期：2022年11月1日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技术负责人（签字）：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张XX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日期：2022年11月1日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博物馆负责人（签字）：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李XX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日期：2022年11月2日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报告单位（盖章）：</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驻马店博物馆</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日期：2022年11月2日</w:t>
            </w:r>
          </w:p>
        </w:tc>
      </w:tr>
    </w:tbl>
    <w:p>
      <w:pPr>
        <w:spacing w:before="120" w:after="120" w:line="288" w:lineRule="auto"/>
        <w:ind w:left="0"/>
        <w:jc w:val="left"/>
      </w:pPr>
      <w:r>
        <w:rPr>
          <w:rFonts w:eastAsia="等线" w:ascii="Arial" w:cs="Arial" w:hAnsi="Arial"/>
          <w:sz w:val="22"/>
        </w:rPr>
        <w:t>附件：1. 旧建筑改造前后影像资料；2. 第三方检测报告（含围护结构、空气质量、能耗等）；3. 施工验收报告；4. 计量记录（电表、水表、太阳能发电量）；5. 相关备案证明及并网证明；6. 节水器具、保温材料等采购合同。</w:t>
      </w: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5791267">
    <w:lvl>
      <w:numFmt w:val="bullet"/>
      <w:suff w:val="tab"/>
      <w:lvlText w:val="•"/>
      <w:rPr>
        <w:color w:val="3370ff"/>
      </w:rPr>
    </w:lvl>
  </w:abstractNum>
  <w:abstractNum w:abstractNumId="5791268">
    <w:lvl>
      <w:numFmt w:val="bullet"/>
      <w:suff w:val="tab"/>
      <w:lvlText w:val="•"/>
      <w:rPr>
        <w:color w:val="3370ff"/>
      </w:rPr>
    </w:lvl>
  </w:abstractNum>
  <w:abstractNum w:abstractNumId="5791269">
    <w:lvl>
      <w:numFmt w:val="bullet"/>
      <w:suff w:val="tab"/>
      <w:lvlText w:val="•"/>
      <w:rPr>
        <w:color w:val="3370ff"/>
      </w:rPr>
    </w:lvl>
  </w:abstractNum>
  <w:abstractNum w:abstractNumId="5791270">
    <w:lvl>
      <w:numFmt w:val="bullet"/>
      <w:suff w:val="tab"/>
      <w:lvlText w:val="•"/>
      <w:rPr>
        <w:color w:val="3370ff"/>
      </w:rPr>
    </w:lvl>
  </w:abstractNum>
  <w:abstractNum w:abstractNumId="5791271">
    <w:lvl>
      <w:numFmt w:val="bullet"/>
      <w:suff w:val="tab"/>
      <w:lvlText w:val="•"/>
      <w:rPr>
        <w:color w:val="3370ff"/>
      </w:rPr>
    </w:lvl>
  </w:abstractNum>
  <w:abstractNum w:abstractNumId="5791272">
    <w:lvl>
      <w:numFmt w:val="bullet"/>
      <w:suff w:val="tab"/>
      <w:lvlText w:val="•"/>
      <w:rPr>
        <w:color w:val="3370ff"/>
      </w:rPr>
    </w:lvl>
  </w:abstractNum>
  <w:abstractNum w:abstractNumId="5791273">
    <w:lvl>
      <w:numFmt w:val="bullet"/>
      <w:suff w:val="tab"/>
      <w:lvlText w:val="•"/>
      <w:rPr>
        <w:color w:val="3370ff"/>
      </w:rPr>
    </w:lvl>
  </w:abstractNum>
  <w:abstractNum w:abstractNumId="5791274">
    <w:lvl>
      <w:numFmt w:val="bullet"/>
      <w:suff w:val="tab"/>
      <w:lvlText w:val="•"/>
      <w:rPr>
        <w:color w:val="3370ff"/>
      </w:rPr>
    </w:lvl>
  </w:abstractNum>
  <w:abstractNum w:abstractNumId="5791275">
    <w:lvl>
      <w:numFmt w:val="bullet"/>
      <w:suff w:val="tab"/>
      <w:lvlText w:val="•"/>
      <w:rPr>
        <w:color w:val="3370ff"/>
      </w:rPr>
    </w:lvl>
  </w:abstractNum>
  <w:abstractNum w:abstractNumId="5791276">
    <w:lvl>
      <w:numFmt w:val="bullet"/>
      <w:suff w:val="tab"/>
      <w:lvlText w:val="•"/>
      <w:rPr>
        <w:color w:val="3370ff"/>
      </w:rPr>
    </w:lvl>
  </w:abstractNum>
  <w:abstractNum w:abstractNumId="5791277">
    <w:lvl>
      <w:numFmt w:val="bullet"/>
      <w:suff w:val="tab"/>
      <w:lvlText w:val="•"/>
      <w:rPr>
        <w:color w:val="3370ff"/>
      </w:rPr>
    </w:lvl>
  </w:abstractNum>
  <w:abstractNum w:abstractNumId="5791278">
    <w:lvl>
      <w:numFmt w:val="bullet"/>
      <w:suff w:val="tab"/>
      <w:lvlText w:val="•"/>
      <w:rPr>
        <w:color w:val="3370ff"/>
      </w:rPr>
    </w:lvl>
  </w:abstractNum>
  <w:abstractNum w:abstractNumId="5791279">
    <w:lvl>
      <w:numFmt w:val="bullet"/>
      <w:suff w:val="tab"/>
      <w:lvlText w:val="•"/>
      <w:rPr>
        <w:color w:val="3370ff"/>
      </w:rPr>
    </w:lvl>
  </w:abstractNum>
  <w:abstractNum w:abstractNumId="5791280">
    <w:lvl>
      <w:numFmt w:val="bullet"/>
      <w:suff w:val="tab"/>
      <w:lvlText w:val="•"/>
      <w:rPr>
        <w:color w:val="3370ff"/>
      </w:rPr>
    </w:lvl>
  </w:abstractNum>
  <w:abstractNum w:abstractNumId="5791281">
    <w:lvl>
      <w:numFmt w:val="bullet"/>
      <w:suff w:val="tab"/>
      <w:lvlText w:val="•"/>
      <w:rPr>
        <w:color w:val="3370ff"/>
      </w:rPr>
    </w:lvl>
  </w:abstractNum>
  <w:abstractNum w:abstractNumId="5791282">
    <w:lvl>
      <w:numFmt w:val="bullet"/>
      <w:suff w:val="tab"/>
      <w:lvlText w:val="•"/>
      <w:rPr>
        <w:color w:val="3370ff"/>
      </w:rPr>
    </w:lvl>
  </w:abstractNum>
  <w:abstractNum w:abstractNumId="5791283">
    <w:lvl>
      <w:numFmt w:val="bullet"/>
      <w:suff w:val="tab"/>
      <w:lvlText w:val="•"/>
      <w:rPr>
        <w:color w:val="3370ff"/>
      </w:rPr>
    </w:lvl>
  </w:abstractNum>
  <w:abstractNum w:abstractNumId="5791284">
    <w:lvl>
      <w:numFmt w:val="bullet"/>
      <w:suff w:val="tab"/>
      <w:lvlText w:val="•"/>
      <w:rPr>
        <w:color w:val="3370ff"/>
      </w:rPr>
    </w:lvl>
  </w:abstractNum>
  <w:abstractNum w:abstractNumId="5791285">
    <w:lvl>
      <w:numFmt w:val="bullet"/>
      <w:suff w:val="tab"/>
      <w:lvlText w:val="•"/>
      <w:rPr>
        <w:color w:val="3370ff"/>
      </w:rPr>
    </w:lvl>
  </w:abstractNum>
  <w:abstractNum w:abstractNumId="5791286">
    <w:lvl>
      <w:numFmt w:val="bullet"/>
      <w:suff w:val="tab"/>
      <w:lvlText w:val="•"/>
      <w:rPr>
        <w:color w:val="3370ff"/>
      </w:rPr>
    </w:lvl>
  </w:abstractNum>
  <w:abstractNum w:abstractNumId="5791287">
    <w:lvl>
      <w:numFmt w:val="bullet"/>
      <w:suff w:val="tab"/>
      <w:lvlText w:val="•"/>
      <w:rPr>
        <w:color w:val="3370ff"/>
      </w:rPr>
    </w:lvl>
  </w:abstractNum>
  <w:abstractNum w:abstractNumId="5791288">
    <w:lvl>
      <w:numFmt w:val="bullet"/>
      <w:suff w:val="tab"/>
      <w:lvlText w:val="•"/>
      <w:rPr>
        <w:color w:val="3370ff"/>
      </w:rPr>
    </w:lvl>
  </w:abstractNum>
  <w:abstractNum w:abstractNumId="5791289">
    <w:lvl>
      <w:numFmt w:val="bullet"/>
      <w:suff w:val="tab"/>
      <w:lvlText w:val="•"/>
      <w:rPr>
        <w:color w:val="3370ff"/>
      </w:rPr>
    </w:lvl>
  </w:abstractNum>
  <w:abstractNum w:abstractNumId="5791290">
    <w:lvl>
      <w:numFmt w:val="bullet"/>
      <w:suff w:val="tab"/>
      <w:lvlText w:val="•"/>
      <w:rPr>
        <w:color w:val="3370ff"/>
      </w:rPr>
    </w:lvl>
  </w:abstractNum>
  <w:abstractNum w:abstractNumId="5791291">
    <w:lvl>
      <w:numFmt w:val="bullet"/>
      <w:suff w:val="tab"/>
      <w:lvlText w:val="•"/>
      <w:rPr>
        <w:color w:val="3370ff"/>
      </w:rPr>
    </w:lvl>
  </w:abstractNum>
  <w:abstractNum w:abstractNumId="5791292">
    <w:lvl>
      <w:numFmt w:val="bullet"/>
      <w:suff w:val="tab"/>
      <w:lvlText w:val="•"/>
      <w:rPr>
        <w:color w:val="3370ff"/>
      </w:rPr>
    </w:lvl>
  </w:abstractNum>
  <w:abstractNum w:abstractNumId="5791293">
    <w:lvl>
      <w:start w:val="1"/>
      <w:numFmt w:val="decimal"/>
      <w:suff w:val="tab"/>
      <w:lvlText w:val="%1."/>
      <w:rPr>
        <w:color w:val="3370ff"/>
      </w:rPr>
    </w:lvl>
  </w:abstractNum>
  <w:abstractNum w:abstractNumId="5791294">
    <w:lvl>
      <w:start w:val="2"/>
      <w:numFmt w:val="decimal"/>
      <w:suff w:val="tab"/>
      <w:lvlText w:val="%1."/>
      <w:rPr>
        <w:color w:val="3370ff"/>
      </w:rPr>
    </w:lvl>
  </w:abstractNum>
  <w:abstractNum w:abstractNumId="5791295">
    <w:lvl>
      <w:start w:val="3"/>
      <w:numFmt w:val="decimal"/>
      <w:suff w:val="tab"/>
      <w:lvlText w:val="%1."/>
      <w:rPr>
        <w:color w:val="3370ff"/>
      </w:rPr>
    </w:lvl>
  </w:abstractNum>
  <w:abstractNum w:abstractNumId="5791296">
    <w:lvl>
      <w:start w:val="4"/>
      <w:numFmt w:val="decimal"/>
      <w:suff w:val="tab"/>
      <w:lvlText w:val="%1."/>
      <w:rPr>
        <w:color w:val="3370ff"/>
      </w:rPr>
    </w:lvl>
  </w:abstractNum>
  <w:abstractNum w:abstractNumId="5791297">
    <w:lvl>
      <w:numFmt w:val="bullet"/>
      <w:suff w:val="tab"/>
      <w:lvlText w:val="•"/>
      <w:rPr>
        <w:color w:val="3370ff"/>
      </w:rPr>
    </w:lvl>
  </w:abstractNum>
  <w:abstractNum w:abstractNumId="5791298">
    <w:lvl>
      <w:numFmt w:val="bullet"/>
      <w:suff w:val="tab"/>
      <w:lvlText w:val="•"/>
      <w:rPr>
        <w:color w:val="3370ff"/>
      </w:rPr>
    </w:lvl>
  </w:abstractNum>
  <w:abstractNum w:abstractNumId="5791299">
    <w:lvl>
      <w:numFmt w:val="bullet"/>
      <w:suff w:val="tab"/>
      <w:lvlText w:val="•"/>
      <w:rPr>
        <w:color w:val="3370ff"/>
      </w:rPr>
    </w:lvl>
  </w:abstractNum>
  <w:abstractNum w:abstractNumId="5791300">
    <w:lvl>
      <w:numFmt w:val="bullet"/>
      <w:suff w:val="tab"/>
      <w:lvlText w:val="•"/>
      <w:rPr>
        <w:color w:val="3370ff"/>
      </w:rPr>
    </w:lvl>
  </w:abstractNum>
  <w:num w:numId="1">
    <w:abstractNumId w:val="5791267"/>
  </w:num>
  <w:num w:numId="2">
    <w:abstractNumId w:val="5791268"/>
  </w:num>
  <w:num w:numId="3">
    <w:abstractNumId w:val="5791269"/>
  </w:num>
  <w:num w:numId="4">
    <w:abstractNumId w:val="5791270"/>
  </w:num>
  <w:num w:numId="5">
    <w:abstractNumId w:val="5791271"/>
  </w:num>
  <w:num w:numId="6">
    <w:abstractNumId w:val="5791272"/>
  </w:num>
  <w:num w:numId="7">
    <w:abstractNumId w:val="5791273"/>
  </w:num>
  <w:num w:numId="8">
    <w:abstractNumId w:val="5791274"/>
  </w:num>
  <w:num w:numId="9">
    <w:abstractNumId w:val="5791275"/>
  </w:num>
  <w:num w:numId="10">
    <w:abstractNumId w:val="5791276"/>
  </w:num>
  <w:num w:numId="11">
    <w:abstractNumId w:val="5791277"/>
  </w:num>
  <w:num w:numId="12">
    <w:abstractNumId w:val="5791278"/>
  </w:num>
  <w:num w:numId="13">
    <w:abstractNumId w:val="5791279"/>
  </w:num>
  <w:num w:numId="14">
    <w:abstractNumId w:val="5791280"/>
  </w:num>
  <w:num w:numId="15">
    <w:abstractNumId w:val="5791281"/>
  </w:num>
  <w:num w:numId="16">
    <w:abstractNumId w:val="5791282"/>
  </w:num>
  <w:num w:numId="17">
    <w:abstractNumId w:val="5791283"/>
  </w:num>
  <w:num w:numId="18">
    <w:abstractNumId w:val="5791284"/>
  </w:num>
  <w:num w:numId="19">
    <w:abstractNumId w:val="5791285"/>
  </w:num>
  <w:num w:numId="20">
    <w:abstractNumId w:val="5791286"/>
  </w:num>
  <w:num w:numId="21">
    <w:abstractNumId w:val="5791287"/>
  </w:num>
  <w:num w:numId="22">
    <w:abstractNumId w:val="5791288"/>
  </w:num>
  <w:num w:numId="23">
    <w:abstractNumId w:val="5791289"/>
  </w:num>
  <w:num w:numId="24">
    <w:abstractNumId w:val="5791290"/>
  </w:num>
  <w:num w:numId="25">
    <w:abstractNumId w:val="5791291"/>
  </w:num>
  <w:num w:numId="26">
    <w:abstractNumId w:val="5791292"/>
  </w:num>
  <w:num w:numId="27">
    <w:abstractNumId w:val="5791293"/>
  </w:num>
  <w:num w:numId="28">
    <w:abstractNumId w:val="5791294"/>
  </w:num>
  <w:num w:numId="29">
    <w:abstractNumId w:val="5791295"/>
  </w:num>
  <w:num w:numId="30">
    <w:abstractNumId w:val="5791296"/>
  </w:num>
  <w:num w:numId="31">
    <w:abstractNumId w:val="5791297"/>
  </w:num>
  <w:num w:numId="32">
    <w:abstractNumId w:val="5791298"/>
  </w:num>
  <w:num w:numId="33">
    <w:abstractNumId w:val="5791299"/>
  </w:num>
  <w:num w:numId="34">
    <w:abstractNumId w:val="5791300"/>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2026-03-28T14:11:48Z</dcterms:created>
  <dc:creator>Apache POI</dc:creator>
</cp:coreProperties>
</file>