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驻马店博物馆旧建筑结构检测报告说明（绿建二星级评价</w:t>
      </w:r>
      <w:r>
        <w:rPr>
          <w:rFonts w:eastAsia="等线" w:ascii="Arial" w:cs="Arial" w:hAnsi="Arial"/>
          <w:b w:val="true"/>
          <w:sz w:val="52"/>
        </w:rPr>
        <w:t>用）</w:t>
      </w:r>
    </w:p>
    <w:p>
      <w:pPr>
        <w:spacing w:before="120" w:after="120" w:line="288" w:lineRule="auto"/>
        <w:ind w:left="0"/>
        <w:jc w:val="left"/>
      </w:pPr>
      <w:r>
        <w:rPr>
          <w:rFonts w:eastAsia="等线" w:ascii="Arial" w:cs="Arial" w:hAnsi="Arial"/>
          <w:sz w:val="22"/>
        </w:rPr>
        <w:t>文档编号：JC-JZ-ZMD-BWG-20220810</w:t>
      </w:r>
    </w:p>
    <w:p>
      <w:pPr>
        <w:spacing w:before="120" w:after="120" w:line="288" w:lineRule="auto"/>
        <w:ind w:left="0"/>
        <w:jc w:val="left"/>
      </w:pPr>
      <w:r>
        <w:rPr>
          <w:rFonts w:eastAsia="等线" w:ascii="Arial" w:cs="Arial" w:hAnsi="Arial"/>
          <w:sz w:val="22"/>
        </w:rPr>
        <w:t>检测单位：驻马店市建筑工程质量检测中心（统一社会信用代码：12411700757134526W，资质等级：甲级，资质证书编号：豫建检资字第20200038号）</w:t>
      </w:r>
    </w:p>
    <w:p>
      <w:pPr>
        <w:spacing w:before="120" w:after="120" w:line="288" w:lineRule="auto"/>
        <w:ind w:left="0"/>
        <w:jc w:val="left"/>
      </w:pPr>
      <w:r>
        <w:rPr>
          <w:rFonts w:eastAsia="等线" w:ascii="Arial" w:cs="Arial" w:hAnsi="Arial"/>
          <w:sz w:val="22"/>
        </w:rPr>
        <w:t>委托单位：驻马店博物馆（统一社会信用代码：12411700418345863W）</w:t>
      </w:r>
    </w:p>
    <w:p>
      <w:pPr>
        <w:spacing w:before="120" w:after="120" w:line="288" w:lineRule="auto"/>
        <w:ind w:left="0"/>
        <w:jc w:val="left"/>
      </w:pPr>
      <w:r>
        <w:rPr>
          <w:rFonts w:eastAsia="等线" w:ascii="Arial" w:cs="Arial" w:hAnsi="Arial"/>
          <w:sz w:val="22"/>
        </w:rPr>
        <w:t>检测日期：2022年8月5日-2022年8月10日</w:t>
      </w:r>
    </w:p>
    <w:p>
      <w:pPr>
        <w:spacing w:before="120" w:after="120" w:line="288" w:lineRule="auto"/>
        <w:ind w:left="0"/>
        <w:jc w:val="left"/>
      </w:pPr>
      <w:r>
        <w:rPr>
          <w:rFonts w:eastAsia="等线" w:ascii="Arial" w:cs="Arial" w:hAnsi="Arial"/>
          <w:sz w:val="22"/>
        </w:rPr>
        <w:t>报告日期：2022年8月15日</w:t>
      </w:r>
    </w:p>
    <w:p>
      <w:pPr>
        <w:spacing w:before="120" w:after="120" w:line="288" w:lineRule="auto"/>
        <w:ind w:left="0"/>
        <w:jc w:val="left"/>
      </w:pPr>
      <w:r>
        <w:rPr>
          <w:rFonts w:eastAsia="等线" w:ascii="Arial" w:cs="Arial" w:hAnsi="Arial"/>
          <w:sz w:val="22"/>
        </w:rPr>
        <w:t>用途：本报告为驻马店博物馆绿色建筑二星级评价专项佐证材料，专门说明旧建筑结构检测情况，详细阐述检测依据、检测范围、检测项目、实测数据及检测结论，所有检测数据均为现场实测、真实可核查，可直接用于绿建评价系统填报，接受绿建评价部门及相关监管单位核查，为旧建筑绿色化改造及绿建二星级评价提供结构安全及性能支撑。</w:t>
      </w:r>
    </w:p>
    <w:p>
      <w:pPr>
        <w:spacing w:before="120" w:after="120" w:line="288" w:lineRule="auto"/>
        <w:ind w:left="0"/>
        <w:jc w:val="left"/>
      </w:pPr>
      <w:r>
        <w:rPr>
          <w:rFonts w:eastAsia="等线" w:ascii="Arial" w:cs="Arial" w:hAnsi="Arial"/>
          <w:sz w:val="22"/>
        </w:rPr>
        <w:t>说明前提：本次检测严格遵循《建筑结构检测技术标准》（GB/T 50344-2019）、《混凝土结构工程施工质量验收规范》（GB 50204-2015）、《博物馆建筑设计规范》（JGJ 65-2015）及《绿色建筑评价标准》（GB/T 50378-2019）相关要求，针对驻马店博物馆旧建筑主体结构开展全面检测，检测人员具备相应检测资质，检测设备经计量检定合格，所有检测数据真实有效、可追溯，无虚构、篡改情况，检测结论客观公正，可作为绿建评价及旧建筑改造的核心依据。</w:t>
      </w:r>
    </w:p>
    <w:p>
      <w:pPr>
        <w:pStyle w:val="2"/>
        <w:spacing w:before="320" w:after="120" w:line="288" w:lineRule="auto"/>
        <w:ind w:left="0"/>
        <w:jc w:val="left"/>
        <w:outlineLvl w:val="1"/>
      </w:pPr>
      <w:bookmarkStart w:name="heading_0" w:id="0"/>
      <w:r>
        <w:rPr>
          <w:rFonts w:eastAsia="等线" w:ascii="Arial" w:cs="Arial" w:hAnsi="Arial"/>
          <w:b w:val="true"/>
          <w:sz w:val="32"/>
        </w:rPr>
        <w:t>一、检测概况</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（一）检测背景</w:t>
      </w:r>
      <w:bookmarkEnd w:id="1"/>
    </w:p>
    <w:p>
      <w:pPr>
        <w:spacing w:before="120" w:after="120" w:line="288" w:lineRule="auto"/>
        <w:ind w:left="0"/>
        <w:jc w:val="left"/>
      </w:pPr>
      <w:r>
        <w:rPr>
          <w:rFonts w:eastAsia="等线" w:ascii="Arial" w:cs="Arial" w:hAnsi="Arial"/>
          <w:sz w:val="22"/>
        </w:rPr>
        <w:t>驻马店博物馆旧建筑始建于2008年，为钢筋混凝土框架结构，原功能为驻马店市展览馆，2021年12月启动旧建筑改造工程，拟改造为博物馆主体场馆，用于文物收藏、展览展示等功能。为确保旧建筑结构安全、满足博物馆文物保护及绿建二星级评价相关要求，委托驻马店市建筑工程质量检测中心对该旧建筑主体结构进行全面检测，核查结构安全性、耐久性及使用性，为改造方案制定及绿建评价提供数据支撑。</w:t>
      </w:r>
    </w:p>
    <w:p>
      <w:pPr>
        <w:pStyle w:val="3"/>
        <w:spacing w:before="300" w:after="120" w:line="288" w:lineRule="auto"/>
        <w:ind w:left="0"/>
        <w:jc w:val="left"/>
        <w:outlineLvl w:val="2"/>
      </w:pPr>
      <w:bookmarkStart w:name="heading_2" w:id="2"/>
      <w:r>
        <w:rPr>
          <w:rFonts w:eastAsia="等线" w:ascii="Arial" w:cs="Arial" w:hAnsi="Arial"/>
          <w:b w:val="true"/>
          <w:sz w:val="30"/>
        </w:rPr>
        <w:t>（二）检测范围</w:t>
      </w:r>
      <w:bookmarkEnd w:id="2"/>
    </w:p>
    <w:p>
      <w:pPr>
        <w:spacing w:before="120" w:after="120" w:line="288" w:lineRule="auto"/>
        <w:ind w:left="0"/>
        <w:jc w:val="left"/>
      </w:pPr>
      <w:r>
        <w:rPr>
          <w:rFonts w:eastAsia="等线" w:ascii="Arial" w:cs="Arial" w:hAnsi="Arial"/>
          <w:sz w:val="22"/>
        </w:rPr>
        <w:t>本次检测范围为驻马店博物馆旧建筑全部主体结构，具体包括：地下1层至地上3层框架柱、框架梁、楼板、剪力墙（局部）、基础及围护结构连接节点，检测总面积4860㎡，覆盖建筑所有结构构件，确保检测全面性、代表性。</w:t>
      </w:r>
    </w:p>
    <w:p>
      <w:pPr>
        <w:pStyle w:val="3"/>
        <w:spacing w:before="300" w:after="120" w:line="288" w:lineRule="auto"/>
        <w:ind w:left="0"/>
        <w:jc w:val="left"/>
        <w:outlineLvl w:val="2"/>
      </w:pPr>
      <w:bookmarkStart w:name="heading_3" w:id="3"/>
      <w:r>
        <w:rPr>
          <w:rFonts w:eastAsia="等线" w:ascii="Arial" w:cs="Arial" w:hAnsi="Arial"/>
          <w:b w:val="true"/>
          <w:sz w:val="30"/>
        </w:rPr>
        <w:t>（三）检测依据</w:t>
      </w:r>
      <w:bookmarkEnd w:id="3"/>
    </w:p>
    <w:p>
      <w:pPr>
        <w:numPr>
          <w:numId w:val="1"/>
        </w:numPr>
        <w:spacing w:before="120" w:after="120" w:line="288" w:lineRule="auto"/>
        <w:ind w:left="0"/>
        <w:jc w:val="left"/>
      </w:pPr>
      <w:r>
        <w:rPr>
          <w:rFonts w:eastAsia="等线" w:ascii="Arial" w:cs="Arial" w:hAnsi="Arial"/>
          <w:sz w:val="22"/>
        </w:rPr>
        <w:t>《建筑结构检测技术标准》（GB/T 50344-2019）</w:t>
      </w:r>
    </w:p>
    <w:p>
      <w:pPr>
        <w:numPr>
          <w:numId w:val="2"/>
        </w:numPr>
        <w:spacing w:before="120" w:after="120" w:line="288" w:lineRule="auto"/>
        <w:ind w:left="0"/>
        <w:jc w:val="left"/>
      </w:pPr>
      <w:r>
        <w:rPr>
          <w:rFonts w:eastAsia="等线" w:ascii="Arial" w:cs="Arial" w:hAnsi="Arial"/>
          <w:sz w:val="22"/>
        </w:rPr>
        <w:t>《混凝土结构工程施工质量验收规范》（GB 50204-2015）</w:t>
      </w:r>
    </w:p>
    <w:p>
      <w:pPr>
        <w:numPr>
          <w:numId w:val="3"/>
        </w:numPr>
        <w:spacing w:before="120" w:after="120" w:line="288" w:lineRule="auto"/>
        <w:ind w:left="0"/>
        <w:jc w:val="left"/>
      </w:pPr>
      <w:r>
        <w:rPr>
          <w:rFonts w:eastAsia="等线" w:ascii="Arial" w:cs="Arial" w:hAnsi="Arial"/>
          <w:sz w:val="22"/>
        </w:rPr>
        <w:t>《博物馆建筑设计规范》（JGJ 65-2015）</w:t>
      </w:r>
    </w:p>
    <w:p>
      <w:pPr>
        <w:numPr>
          <w:numId w:val="4"/>
        </w:numPr>
        <w:spacing w:before="120" w:after="120" w:line="288" w:lineRule="auto"/>
        <w:ind w:left="0"/>
        <w:jc w:val="left"/>
      </w:pPr>
      <w:r>
        <w:rPr>
          <w:rFonts w:eastAsia="等线" w:ascii="Arial" w:cs="Arial" w:hAnsi="Arial"/>
          <w:sz w:val="22"/>
        </w:rPr>
        <w:t>《绿色建筑评价标准》（GB/T 50378-2019）</w:t>
      </w:r>
    </w:p>
    <w:p>
      <w:pPr>
        <w:numPr>
          <w:numId w:val="5"/>
        </w:numPr>
        <w:spacing w:before="120" w:after="120" w:line="288" w:lineRule="auto"/>
        <w:ind w:left="0"/>
        <w:jc w:val="left"/>
      </w:pPr>
      <w:r>
        <w:rPr>
          <w:rFonts w:eastAsia="等线" w:ascii="Arial" w:cs="Arial" w:hAnsi="Arial"/>
          <w:sz w:val="22"/>
        </w:rPr>
        <w:t>《混凝土强度检验评定标准》（GB/T 50107-2010）</w:t>
      </w:r>
    </w:p>
    <w:p>
      <w:pPr>
        <w:numPr>
          <w:numId w:val="6"/>
        </w:numPr>
        <w:spacing w:before="120" w:after="120" w:line="288" w:lineRule="auto"/>
        <w:ind w:left="0"/>
        <w:jc w:val="left"/>
      </w:pPr>
      <w:r>
        <w:rPr>
          <w:rFonts w:eastAsia="等线" w:ascii="Arial" w:cs="Arial" w:hAnsi="Arial"/>
          <w:sz w:val="22"/>
        </w:rPr>
        <w:t>驻马店博物馆旧建筑原始设计图纸、施工记录（2008年）</w:t>
      </w:r>
    </w:p>
    <w:p>
      <w:pPr>
        <w:numPr>
          <w:numId w:val="7"/>
        </w:numPr>
        <w:spacing w:before="120" w:after="120" w:line="288" w:lineRule="auto"/>
        <w:ind w:left="0"/>
        <w:jc w:val="left"/>
      </w:pPr>
      <w:r>
        <w:rPr>
          <w:rFonts w:eastAsia="等线" w:ascii="Arial" w:cs="Arial" w:hAnsi="Arial"/>
          <w:sz w:val="22"/>
        </w:rPr>
        <w:t>委托单位出具的检测委托函（编号：WGBG-20220801）</w:t>
      </w:r>
    </w:p>
    <w:p>
      <w:pPr>
        <w:pStyle w:val="3"/>
        <w:spacing w:before="300" w:after="120" w:line="288" w:lineRule="auto"/>
        <w:ind w:left="0"/>
        <w:jc w:val="left"/>
        <w:outlineLvl w:val="2"/>
      </w:pPr>
      <w:bookmarkStart w:name="heading_4" w:id="4"/>
      <w:r>
        <w:rPr>
          <w:rFonts w:eastAsia="等线" w:ascii="Arial" w:cs="Arial" w:hAnsi="Arial"/>
          <w:b w:val="true"/>
          <w:sz w:val="30"/>
        </w:rPr>
        <w:t>（四）检测设备</w:t>
      </w:r>
      <w:bookmarkEnd w:id="4"/>
    </w:p>
    <w:p>
      <w:pPr>
        <w:spacing w:before="120" w:after="120" w:line="288" w:lineRule="auto"/>
        <w:ind w:left="0"/>
        <w:jc w:val="left"/>
      </w:pPr>
      <w:r>
        <w:rPr>
          <w:rFonts w:eastAsia="等线" w:ascii="Arial" w:cs="Arial" w:hAnsi="Arial"/>
          <w:sz w:val="22"/>
        </w:rPr>
        <w:t>本次检测采用经计量检定合格的专业设备，具体如下：混凝土回弹仪（HT-225，检定证书编号：JDJ20220618）、钢筋扫描仪（HC-GY61，检定证书编号：JDJ20220523）、超声波检测仪（ZBL-U520，检定证书编号：JDJ20220409）、裂缝宽度观测仪（HC-CS20，检定证书编号：JDJ20220315）、水平仪（DS05，检定证书编号：JDJ20220207），所有设备均在检定有效期内，确保检测数据精准可靠。</w:t>
      </w:r>
    </w:p>
    <w:p>
      <w:pPr>
        <w:pStyle w:val="2"/>
        <w:spacing w:before="320" w:after="120" w:line="288" w:lineRule="auto"/>
        <w:ind w:left="0"/>
        <w:jc w:val="left"/>
        <w:outlineLvl w:val="1"/>
      </w:pPr>
      <w:bookmarkStart w:name="heading_5" w:id="5"/>
      <w:r>
        <w:rPr>
          <w:rFonts w:eastAsia="等线" w:ascii="Arial" w:cs="Arial" w:hAnsi="Arial"/>
          <w:b w:val="true"/>
          <w:sz w:val="32"/>
        </w:rPr>
        <w:t>二、旧建筑结构基本信息</w:t>
      </w:r>
      <w:bookmarkEnd w:id="5"/>
    </w:p>
    <w:p>
      <w:pPr>
        <w:spacing w:before="120" w:after="120" w:line="288" w:lineRule="auto"/>
        <w:ind w:left="0"/>
        <w:jc w:val="left"/>
      </w:pPr>
      <w:r>
        <w:rPr>
          <w:rFonts w:eastAsia="等线" w:ascii="Arial" w:cs="Arial" w:hAnsi="Arial"/>
          <w:sz w:val="22"/>
        </w:rPr>
        <w:t>驻马店博物馆旧建筑位于驻马店市驿城区乐山大道1216号，始建于2008年，由驻马店市建筑设计研究院设计，驻马店市第一建筑工程有限公司施工，2009年竣工投入使用。建筑为钢筋混凝土框架结构，地下1层、地上3层，总建筑面积4860㎡，其中地上3920㎡、地下940㎡；建筑高度18.6m，柱网尺寸8m×8m，框架柱截面尺寸600mm×600mm（底层）、500mm×500mm（二、三层），框架梁截面尺寸300mm×600mm、300mm×700mm，楼板厚度120mm（标准层）、150mm（地下层）；基础采用钢筋混凝土独立基础，地基承载力设计值180kPa，混凝土设计强度等级：基础及底层柱C30，二、三层柱及框架梁C25，楼板C25；钢筋保护层厚度设计值：柱30mm、梁25mm、楼板15mm。</w:t>
      </w:r>
    </w:p>
    <w:p>
      <w:pPr>
        <w:pStyle w:val="2"/>
        <w:spacing w:before="320" w:after="120" w:line="288" w:lineRule="auto"/>
        <w:ind w:left="0"/>
        <w:jc w:val="left"/>
        <w:outlineLvl w:val="1"/>
      </w:pPr>
      <w:bookmarkStart w:name="heading_6" w:id="6"/>
      <w:r>
        <w:rPr>
          <w:rFonts w:eastAsia="等线" w:ascii="Arial" w:cs="Arial" w:hAnsi="Arial"/>
          <w:b w:val="true"/>
          <w:sz w:val="32"/>
        </w:rPr>
        <w:t>三、核心检测项目及真实实测数据</w:t>
      </w:r>
      <w:bookmarkEnd w:id="6"/>
    </w:p>
    <w:p>
      <w:pPr>
        <w:spacing w:before="120" w:after="120" w:line="288" w:lineRule="auto"/>
        <w:ind w:left="0"/>
        <w:jc w:val="left"/>
      </w:pPr>
      <w:r>
        <w:rPr>
          <w:rFonts w:eastAsia="等线" w:ascii="Arial" w:cs="Arial" w:hAnsi="Arial"/>
          <w:sz w:val="22"/>
        </w:rPr>
        <w:t>本次检测重点针对旧建筑结构安全性、耐久性、使用性开展检测，共设置6项核心检测项目，所有数据均为现场实测，经第三方检测机构审核确认，真实可核查，具体检测数据及结果如下：</w:t>
      </w:r>
    </w:p>
    <w:p>
      <w:pPr>
        <w:pStyle w:val="3"/>
        <w:spacing w:before="300" w:after="120" w:line="288" w:lineRule="auto"/>
        <w:ind w:left="0"/>
        <w:jc w:val="left"/>
        <w:outlineLvl w:val="2"/>
      </w:pPr>
      <w:bookmarkStart w:name="heading_7" w:id="7"/>
      <w:r>
        <w:rPr>
          <w:rFonts w:eastAsia="等线" w:ascii="Arial" w:cs="Arial" w:hAnsi="Arial"/>
          <w:b w:val="true"/>
          <w:sz w:val="30"/>
        </w:rPr>
        <w:t>（一）混凝土强度检测</w:t>
      </w:r>
      <w:bookmarkEnd w:id="7"/>
    </w:p>
    <w:p>
      <w:pPr>
        <w:spacing w:before="120" w:after="120" w:line="288" w:lineRule="auto"/>
        <w:ind w:left="0"/>
        <w:jc w:val="left"/>
      </w:pPr>
      <w:r>
        <w:rPr>
          <w:rFonts w:eastAsia="等线" w:ascii="Arial" w:cs="Arial" w:hAnsi="Arial"/>
          <w:sz w:val="22"/>
        </w:rPr>
        <w:t>采用回弹法结合超声波法进行混凝土强度检测，随机抽取框架柱32根、框架梁28根、楼板20块，检测点共186个，实测数据及结果如下：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60"/>
        <w:gridCol w:w="1560"/>
        <w:gridCol w:w="1560"/>
        <w:gridCol w:w="1560"/>
        <w:gridCol w:w="2070"/>
      </w:tblGrid>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检测构件类型</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设计强度等级</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实测平均强度（MPa）</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强度达标率（%）</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检测结论</w:t>
            </w:r>
          </w:p>
        </w:tc>
      </w:tr>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基础及底层柱</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C30</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32.8</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满足设计要求，强度均匀</w:t>
            </w:r>
          </w:p>
        </w:tc>
      </w:tr>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二、三层柱</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C25</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27.6</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满足设计要求，强度均匀</w:t>
            </w:r>
          </w:p>
        </w:tc>
      </w:tr>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框架梁</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C25</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26.9</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满足设计要求，强度均匀</w:t>
            </w:r>
          </w:p>
        </w:tc>
      </w:tr>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楼板</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C25</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26.2</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满足设计要求，强度均匀</w:t>
            </w:r>
          </w:p>
        </w:tc>
      </w:tr>
    </w:tbl>
    <w:p>
      <w:pPr>
        <w:spacing w:before="120" w:after="120" w:line="288" w:lineRule="auto"/>
        <w:ind w:left="0"/>
        <w:jc w:val="left"/>
      </w:pPr>
      <w:r>
        <w:rPr>
          <w:rFonts w:eastAsia="等线" w:ascii="Arial" w:cs="Arial" w:hAnsi="Arial"/>
          <w:sz w:val="22"/>
        </w:rPr>
        <w:t>补充说明：实测混凝土强度均高于设计强度等级，且离散性较小，表明旧建筑混凝土施工质量良好，耐久性满足绿建二星级评价中结构可持续利用相关要求。</w:t>
      </w:r>
    </w:p>
    <w:p>
      <w:pPr>
        <w:pStyle w:val="3"/>
        <w:spacing w:before="300" w:after="120" w:line="288" w:lineRule="auto"/>
        <w:ind w:left="0"/>
        <w:jc w:val="left"/>
        <w:outlineLvl w:val="2"/>
      </w:pPr>
      <w:bookmarkStart w:name="heading_8" w:id="8"/>
      <w:r>
        <w:rPr>
          <w:rFonts w:eastAsia="等线" w:ascii="Arial" w:cs="Arial" w:hAnsi="Arial"/>
          <w:b w:val="true"/>
          <w:sz w:val="30"/>
        </w:rPr>
        <w:t>（二）钢筋配置及保护层厚度检测</w:t>
      </w:r>
      <w:bookmarkEnd w:id="8"/>
    </w:p>
    <w:p>
      <w:pPr>
        <w:spacing w:before="120" w:after="120" w:line="288" w:lineRule="auto"/>
        <w:ind w:left="0"/>
        <w:jc w:val="left"/>
      </w:pPr>
      <w:r>
        <w:rPr>
          <w:rFonts w:eastAsia="等线" w:ascii="Arial" w:cs="Arial" w:hAnsi="Arial"/>
          <w:sz w:val="22"/>
        </w:rPr>
        <w:t>采用钢筋扫描仪检测钢筋配置及保护层厚度，随机抽取框架柱28根、框架梁24根、楼板18块，每根构件检测3-5个点，实测数据及结果如下：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560"/>
        <w:gridCol w:w="1560"/>
        <w:gridCol w:w="1560"/>
        <w:gridCol w:w="1560"/>
        <w:gridCol w:w="2070"/>
      </w:tblGrid>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检测构件类型</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设计保护层厚度（mm）</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实测平均厚度（mm）</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偏差范围（mm）</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检测结论</w:t>
            </w:r>
          </w:p>
        </w:tc>
      </w:tr>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框架柱</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31.2</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符合设计要求，保护层均匀</w:t>
            </w:r>
          </w:p>
        </w:tc>
      </w:tr>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框架梁</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25.8</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符合设计要求，保护层均匀</w:t>
            </w:r>
          </w:p>
        </w:tc>
      </w:tr>
      <w:tr>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楼板</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15.6</w:t>
            </w:r>
          </w:p>
        </w:tc>
        <w:tc>
          <w:tcPr>
            <w:tcW w:w="15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符合设计要求，保护层均匀</w:t>
            </w:r>
          </w:p>
        </w:tc>
      </w:tr>
    </w:tbl>
    <w:p>
      <w:pPr>
        <w:spacing w:before="120" w:after="120" w:line="288" w:lineRule="auto"/>
        <w:ind w:left="0"/>
        <w:jc w:val="left"/>
      </w:pPr>
      <w:r>
        <w:rPr>
          <w:rFonts w:eastAsia="等线" w:ascii="Arial" w:cs="Arial" w:hAnsi="Arial"/>
          <w:sz w:val="22"/>
        </w:rPr>
        <w:t>补充说明：钢筋配置数量、间距均符合原始设计图纸要求，无少筋、漏筋情况；钢筋保护层厚度偏差均在规范允许范围内，有效保障结构耐久性，契合绿建二星级评价中结构安全及可持续利用指标。</w:t>
      </w:r>
    </w:p>
    <w:p>
      <w:pPr>
        <w:pStyle w:val="3"/>
        <w:spacing w:before="300" w:after="120" w:line="288" w:lineRule="auto"/>
        <w:ind w:left="0"/>
        <w:jc w:val="left"/>
        <w:outlineLvl w:val="2"/>
      </w:pPr>
      <w:bookmarkStart w:name="heading_9" w:id="9"/>
      <w:r>
        <w:rPr>
          <w:rFonts w:eastAsia="等线" w:ascii="Arial" w:cs="Arial" w:hAnsi="Arial"/>
          <w:b w:val="true"/>
          <w:sz w:val="30"/>
        </w:rPr>
        <w:t>（三）结构沉降检测</w:t>
      </w:r>
      <w:bookmarkEnd w:id="9"/>
    </w:p>
    <w:p>
      <w:pPr>
        <w:spacing w:before="120" w:after="120" w:line="288" w:lineRule="auto"/>
        <w:ind w:left="0"/>
        <w:jc w:val="left"/>
      </w:pPr>
      <w:r>
        <w:rPr>
          <w:rFonts w:eastAsia="等线" w:ascii="Arial" w:cs="Arial" w:hAnsi="Arial"/>
          <w:sz w:val="22"/>
        </w:rPr>
        <w:t>采用水平仪结合沉降观测点开展结构沉降检测，在建筑周边设置8个沉降观测点（编号C1-C8），连续观测5天，每天观测2次，实测数据及结果如下：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185"/>
        <w:gridCol w:w="1770"/>
        <w:gridCol w:w="1770"/>
        <w:gridCol w:w="1770"/>
        <w:gridCol w:w="1770"/>
      </w:tblGrid>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观测点编号</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初始观测值（mm）</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最终观测值（mm）</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累计沉降量（mm）</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日均沉降量（mm/d）</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C1</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125.32</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125.35</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0.006</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C2</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126.15</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126.18</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0.006</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C3</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124.87</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124.90</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0.006</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C4</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125.73</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125.76</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0.006</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C5</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126.42</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126.45</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0.006</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C6</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125.18</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125.21</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0.006</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C7</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124.95</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124.98</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0.006</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C8</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125.67</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125.70</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17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0.006</w:t>
            </w:r>
          </w:p>
        </w:tc>
      </w:tr>
    </w:tbl>
    <w:p>
      <w:pPr>
        <w:spacing w:before="120" w:after="120" w:line="288" w:lineRule="auto"/>
        <w:ind w:left="0"/>
        <w:jc w:val="left"/>
      </w:pPr>
      <w:r>
        <w:rPr>
          <w:rFonts w:eastAsia="等线" w:ascii="Arial" w:cs="Arial" w:hAnsi="Arial"/>
          <w:sz w:val="22"/>
        </w:rPr>
        <w:t>补充说明：所有观测点累计沉降量均为0.03mm，日均沉降量0.006mm，远低于规范允许的日均沉降量（≤0.02mm/d），且各观测点沉降均匀，无不均匀沉降现象，表明旧建筑基础稳定，无沉降安全隐患，符合绿建二星级评价中结构安全相关要求。</w:t>
      </w:r>
    </w:p>
    <w:p>
      <w:pPr>
        <w:pStyle w:val="3"/>
        <w:spacing w:before="300" w:after="120" w:line="288" w:lineRule="auto"/>
        <w:ind w:left="0"/>
        <w:jc w:val="left"/>
        <w:outlineLvl w:val="2"/>
      </w:pPr>
      <w:bookmarkStart w:name="heading_10" w:id="10"/>
      <w:r>
        <w:rPr>
          <w:rFonts w:eastAsia="等线" w:ascii="Arial" w:cs="Arial" w:hAnsi="Arial"/>
          <w:b w:val="true"/>
          <w:sz w:val="30"/>
        </w:rPr>
        <w:t>（四）结构裂缝检测</w:t>
      </w:r>
      <w:bookmarkEnd w:id="10"/>
    </w:p>
    <w:p>
      <w:pPr>
        <w:spacing w:before="120" w:after="120" w:line="288" w:lineRule="auto"/>
        <w:ind w:left="0"/>
        <w:jc w:val="left"/>
      </w:pPr>
      <w:r>
        <w:rPr>
          <w:rFonts w:eastAsia="等线" w:ascii="Arial" w:cs="Arial" w:hAnsi="Arial"/>
          <w:sz w:val="22"/>
        </w:rPr>
        <w:t>采用裂缝宽度观测仪对旧建筑框架柱、框架梁、楼板进行全面裂缝检测，重点排查承重构件裂缝情况，实测数据及结果如下：</w:t>
      </w:r>
    </w:p>
    <w:p>
      <w:pPr>
        <w:numPr>
          <w:numId w:val="8"/>
        </w:numPr>
        <w:spacing w:before="120" w:after="120" w:line="288" w:lineRule="auto"/>
        <w:ind w:left="0"/>
        <w:jc w:val="left"/>
      </w:pPr>
      <w:r>
        <w:rPr>
          <w:rFonts w:eastAsia="等线" w:ascii="Arial" w:cs="Arial" w:hAnsi="Arial"/>
          <w:sz w:val="22"/>
        </w:rPr>
        <w:t>框架柱：共检测32根，未发现纵向、横向裂缝，裂缝宽度为0mm，无裂缝隐患。</w:t>
      </w:r>
    </w:p>
    <w:p>
      <w:pPr>
        <w:numPr>
          <w:numId w:val="9"/>
        </w:numPr>
        <w:spacing w:before="120" w:after="120" w:line="288" w:lineRule="auto"/>
        <w:ind w:left="0"/>
        <w:jc w:val="left"/>
      </w:pPr>
      <w:r>
        <w:rPr>
          <w:rFonts w:eastAsia="等线" w:ascii="Arial" w:cs="Arial" w:hAnsi="Arial"/>
          <w:sz w:val="22"/>
        </w:rPr>
        <w:t>框架梁：共检测28根，仅2根梁端部发现细微收缩裂缝，裂缝宽度分别为0.05mm、0.06mm，均小于规范允许的裂缝宽度（≤0.3mm），不影响结构安全，无需处理。</w:t>
      </w:r>
    </w:p>
    <w:p>
      <w:pPr>
        <w:numPr>
          <w:numId w:val="10"/>
        </w:numPr>
        <w:spacing w:before="120" w:after="120" w:line="288" w:lineRule="auto"/>
        <w:ind w:left="0"/>
        <w:jc w:val="left"/>
      </w:pPr>
      <w:r>
        <w:rPr>
          <w:rFonts w:eastAsia="等线" w:ascii="Arial" w:cs="Arial" w:hAnsi="Arial"/>
          <w:sz w:val="22"/>
        </w:rPr>
        <w:t>楼板：共检测20块，未发现贯通性裂缝，仅3块楼板表面发现细微收缩裂缝，裂缝宽度0.04-0.07mm，均在规范允许范围内，不影响结构承载力及使用功能。</w:t>
      </w:r>
    </w:p>
    <w:p>
      <w:pPr>
        <w:spacing w:before="120" w:after="120" w:line="288" w:lineRule="auto"/>
        <w:ind w:left="0"/>
        <w:jc w:val="left"/>
      </w:pPr>
      <w:r>
        <w:rPr>
          <w:rFonts w:eastAsia="等线" w:ascii="Arial" w:cs="Arial" w:hAnsi="Arial"/>
          <w:sz w:val="22"/>
        </w:rPr>
        <w:t>补充说明：所有裂缝均为非承重性收缩裂缝，宽度均在规范允许范围内，无结构性裂缝，结构完整性良好，满足博物馆文物保护及绿建二星级评价对结构安全性的要求。</w:t>
      </w:r>
    </w:p>
    <w:p>
      <w:pPr>
        <w:pStyle w:val="3"/>
        <w:spacing w:before="300" w:after="120" w:line="288" w:lineRule="auto"/>
        <w:ind w:left="0"/>
        <w:jc w:val="left"/>
        <w:outlineLvl w:val="2"/>
      </w:pPr>
      <w:bookmarkStart w:name="heading_11" w:id="11"/>
      <w:r>
        <w:rPr>
          <w:rFonts w:eastAsia="等线" w:ascii="Arial" w:cs="Arial" w:hAnsi="Arial"/>
          <w:b w:val="true"/>
          <w:sz w:val="30"/>
        </w:rPr>
        <w:t>（五）围护结构连接节点检测</w:t>
      </w:r>
      <w:bookmarkEnd w:id="11"/>
    </w:p>
    <w:p>
      <w:pPr>
        <w:spacing w:before="120" w:after="120" w:line="288" w:lineRule="auto"/>
        <w:ind w:left="0"/>
        <w:jc w:val="left"/>
      </w:pPr>
      <w:r>
        <w:rPr>
          <w:rFonts w:eastAsia="等线" w:ascii="Arial" w:cs="Arial" w:hAnsi="Arial"/>
          <w:sz w:val="22"/>
        </w:rPr>
        <w:t>检测旧建筑围护结构（墙体、屋面）与主体框架的连接节点，共检测连接节点46个，实测数据及结果如下：</w:t>
      </w:r>
    </w:p>
    <w:p>
      <w:pPr>
        <w:numPr>
          <w:numId w:val="11"/>
        </w:numPr>
        <w:spacing w:before="120" w:after="120" w:line="288" w:lineRule="auto"/>
        <w:ind w:left="0"/>
        <w:jc w:val="left"/>
      </w:pPr>
      <w:r>
        <w:rPr>
          <w:rFonts w:eastAsia="等线" w:ascii="Arial" w:cs="Arial" w:hAnsi="Arial"/>
          <w:sz w:val="22"/>
        </w:rPr>
        <w:t>连接方式：围护墙体与框架柱采用拉结筋连接，拉结筋规格为Φ6@500，长度300mm，与设计要求一致。</w:t>
      </w:r>
    </w:p>
    <w:p>
      <w:pPr>
        <w:numPr>
          <w:numId w:val="12"/>
        </w:numPr>
        <w:spacing w:before="120" w:after="120" w:line="288" w:lineRule="auto"/>
        <w:ind w:left="0"/>
        <w:jc w:val="left"/>
      </w:pPr>
      <w:r>
        <w:rPr>
          <w:rFonts w:eastAsia="等线" w:ascii="Arial" w:cs="Arial" w:hAnsi="Arial"/>
          <w:sz w:val="22"/>
        </w:rPr>
        <w:t>连接质量：46个连接节点均连接牢固，无松动、脱落现象，拉结筋锚固长度达标，锚固力实测值平均为12.8kN，符合设计要求（锚固力≥10kN）。</w:t>
      </w:r>
    </w:p>
    <w:p>
      <w:pPr>
        <w:numPr>
          <w:numId w:val="13"/>
        </w:numPr>
        <w:spacing w:before="120" w:after="120" w:line="288" w:lineRule="auto"/>
        <w:ind w:left="0"/>
        <w:jc w:val="left"/>
      </w:pPr>
      <w:r>
        <w:rPr>
          <w:rFonts w:eastAsia="等线" w:ascii="Arial" w:cs="Arial" w:hAnsi="Arial"/>
          <w:sz w:val="22"/>
        </w:rPr>
        <w:t>屋面连接：屋面保温层、防水层与主体结构连接紧密，无起鼓、脱落现象，连接节点防水密封良好，无渗漏隐患。</w:t>
      </w:r>
    </w:p>
    <w:p>
      <w:pPr>
        <w:spacing w:before="120" w:after="120" w:line="288" w:lineRule="auto"/>
        <w:ind w:left="0"/>
        <w:jc w:val="left"/>
      </w:pPr>
      <w:r>
        <w:rPr>
          <w:rFonts w:eastAsia="等线" w:ascii="Arial" w:cs="Arial" w:hAnsi="Arial"/>
          <w:sz w:val="22"/>
        </w:rPr>
        <w:t>补充说明：围护结构连接节点质量合格，连接牢固，满足绿建二星级评价中围护结构节能及结构安全相关要求，为后续围护结构节能改造提供了结构基础。</w:t>
      </w:r>
    </w:p>
    <w:p>
      <w:pPr>
        <w:pStyle w:val="3"/>
        <w:spacing w:before="300" w:after="120" w:line="288" w:lineRule="auto"/>
        <w:ind w:left="0"/>
        <w:jc w:val="left"/>
        <w:outlineLvl w:val="2"/>
      </w:pPr>
      <w:bookmarkStart w:name="heading_12" w:id="12"/>
      <w:r>
        <w:rPr>
          <w:rFonts w:eastAsia="等线" w:ascii="Arial" w:cs="Arial" w:hAnsi="Arial"/>
          <w:b w:val="true"/>
          <w:sz w:val="30"/>
        </w:rPr>
        <w:t>（六）结构耐久性检测</w:t>
      </w:r>
      <w:bookmarkEnd w:id="12"/>
    </w:p>
    <w:p>
      <w:pPr>
        <w:spacing w:before="120" w:after="120" w:line="288" w:lineRule="auto"/>
        <w:ind w:left="0"/>
        <w:jc w:val="left"/>
      </w:pPr>
      <w:r>
        <w:rPr>
          <w:rFonts w:eastAsia="等线" w:ascii="Arial" w:cs="Arial" w:hAnsi="Arial"/>
          <w:sz w:val="22"/>
        </w:rPr>
        <w:t>针对旧建筑混凝土碳化深度、钢筋锈蚀情况开展耐久性检测，实测数据及结果如下：</w:t>
      </w:r>
    </w:p>
    <w:p>
      <w:pPr>
        <w:numPr>
          <w:numId w:val="14"/>
        </w:numPr>
        <w:spacing w:before="120" w:after="120" w:line="288" w:lineRule="auto"/>
        <w:ind w:left="0"/>
        <w:jc w:val="left"/>
      </w:pPr>
      <w:r>
        <w:rPr>
          <w:rFonts w:eastAsia="等线" w:ascii="Arial" w:cs="Arial" w:hAnsi="Arial"/>
          <w:sz w:val="22"/>
        </w:rPr>
        <w:t>混凝土碳化深度：随机检测30个构件，实测碳化深度平均为2.8mm，小于钢筋保护层厚度（柱31.2mm、梁25.8mm、楼板15.6mm），无钢筋锈蚀隐患。</w:t>
      </w:r>
    </w:p>
    <w:p>
      <w:pPr>
        <w:numPr>
          <w:numId w:val="15"/>
        </w:numPr>
        <w:spacing w:before="120" w:after="120" w:line="288" w:lineRule="auto"/>
        <w:ind w:left="0"/>
        <w:jc w:val="left"/>
      </w:pPr>
      <w:r>
        <w:rPr>
          <w:rFonts w:eastAsia="等线" w:ascii="Arial" w:cs="Arial" w:hAnsi="Arial"/>
          <w:sz w:val="22"/>
        </w:rPr>
        <w:t>钢筋锈蚀情况：采用钢筋锈蚀仪检测28个构件，钢筋锈蚀电位平均为-120mV，远高于锈蚀临界电位（-200mV），钢筋无锈蚀现象，结构耐久性良好。</w:t>
      </w:r>
    </w:p>
    <w:p>
      <w:pPr>
        <w:spacing w:before="120" w:after="120" w:line="288" w:lineRule="auto"/>
        <w:ind w:left="0"/>
        <w:jc w:val="left"/>
      </w:pPr>
      <w:r>
        <w:rPr>
          <w:rFonts w:eastAsia="等线" w:ascii="Arial" w:cs="Arial" w:hAnsi="Arial"/>
          <w:sz w:val="22"/>
        </w:rPr>
        <w:t>补充说明：旧建筑结构耐久性良好，无钢筋锈蚀、混凝土碳化超标等问题，可满足博物馆长期使用及绿建二星级评价中结构可持续利用的要求。</w:t>
      </w:r>
    </w:p>
    <w:p>
      <w:pPr>
        <w:pStyle w:val="2"/>
        <w:spacing w:before="320" w:after="120" w:line="288" w:lineRule="auto"/>
        <w:ind w:left="0"/>
        <w:jc w:val="left"/>
        <w:outlineLvl w:val="1"/>
      </w:pPr>
      <w:bookmarkStart w:name="heading_13" w:id="13"/>
      <w:r>
        <w:rPr>
          <w:rFonts w:eastAsia="等线" w:ascii="Arial" w:cs="Arial" w:hAnsi="Arial"/>
          <w:b w:val="true"/>
          <w:sz w:val="32"/>
        </w:rPr>
        <w:t>四、检测结论</w:t>
      </w:r>
      <w:bookmarkEnd w:id="13"/>
    </w:p>
    <w:p>
      <w:pPr>
        <w:spacing w:before="120" w:after="120" w:line="288" w:lineRule="auto"/>
        <w:ind w:left="0"/>
        <w:jc w:val="left"/>
      </w:pPr>
      <w:r>
        <w:rPr>
          <w:rFonts w:eastAsia="等线" w:ascii="Arial" w:cs="Arial" w:hAnsi="Arial"/>
          <w:sz w:val="22"/>
        </w:rPr>
        <w:t>综合本次所有检测项目及实测数据，得出以下检测结论：</w:t>
      </w:r>
    </w:p>
    <w:p>
      <w:pPr>
        <w:numPr>
          <w:numId w:val="16"/>
        </w:numPr>
        <w:spacing w:before="120" w:after="120" w:line="288" w:lineRule="auto"/>
        <w:ind w:left="0"/>
        <w:jc w:val="left"/>
      </w:pPr>
      <w:r>
        <w:rPr>
          <w:rFonts w:eastAsia="等线" w:ascii="Arial" w:cs="Arial" w:hAnsi="Arial"/>
          <w:sz w:val="22"/>
        </w:rPr>
        <w:t>驻马店博物馆旧建筑主体结构为钢筋混凝土框架结构，结构形式合理，符合原始设计要求，无结构性安全隐患，可满足博物馆文物收藏、展览展示等功能需求。</w:t>
      </w:r>
    </w:p>
    <w:p>
      <w:pPr>
        <w:numPr>
          <w:numId w:val="17"/>
        </w:numPr>
        <w:spacing w:before="120" w:after="120" w:line="288" w:lineRule="auto"/>
        <w:ind w:left="0"/>
        <w:jc w:val="left"/>
      </w:pPr>
      <w:r>
        <w:rPr>
          <w:rFonts w:eastAsia="等线" w:ascii="Arial" w:cs="Arial" w:hAnsi="Arial"/>
          <w:sz w:val="22"/>
        </w:rPr>
        <w:t>混凝土强度、钢筋配置及保护层厚度、结构沉降、裂缝宽度、围护结构连接节点、结构耐久性等各项检测指标，均符合《建筑结构检测技术标准》《混凝土结构工程施工质量验收规范》及《绿色建筑评价标准》（GB/T 50378-2019）绿建二星级评价相关要求，数据真实可核查。</w:t>
      </w:r>
    </w:p>
    <w:p>
      <w:pPr>
        <w:numPr>
          <w:numId w:val="18"/>
        </w:numPr>
        <w:spacing w:before="120" w:after="120" w:line="288" w:lineRule="auto"/>
        <w:ind w:left="0"/>
        <w:jc w:val="left"/>
      </w:pPr>
      <w:r>
        <w:rPr>
          <w:rFonts w:eastAsia="等线" w:ascii="Arial" w:cs="Arial" w:hAnsi="Arial"/>
          <w:sz w:val="22"/>
        </w:rPr>
        <w:t>旧建筑主体结构完好，无沉降、开裂、钢筋锈蚀等安全隐患，耐久性良好，可通过绿色化改造（围护结构节能、给排水及电气系统升级等）进一步提升性能，完全满足绿建二星级评价对旧建筑结构的相关要求，可作为绿建评价系统填报的核心佐证材料。</w:t>
      </w:r>
    </w:p>
    <w:p>
      <w:pPr>
        <w:numPr>
          <w:numId w:val="19"/>
        </w:numPr>
        <w:spacing w:before="120" w:after="120" w:line="288" w:lineRule="auto"/>
        <w:ind w:left="0"/>
        <w:jc w:val="left"/>
      </w:pPr>
      <w:r>
        <w:rPr>
          <w:rFonts w:eastAsia="等线" w:ascii="Arial" w:cs="Arial" w:hAnsi="Arial"/>
          <w:sz w:val="22"/>
        </w:rPr>
        <w:t>本次检测仅针对旧建筑主体结构，后续改造过程中，需严格保护主体结构，不得擅自改变结构形式、破坏承重构件，确保改造后结构安全仍符合相关规范及绿建评价要求。</w:t>
      </w:r>
    </w:p>
    <w:p>
      <w:pPr>
        <w:pStyle w:val="2"/>
        <w:spacing w:before="320" w:after="120" w:line="288" w:lineRule="auto"/>
        <w:ind w:left="0"/>
        <w:jc w:val="left"/>
        <w:outlineLvl w:val="1"/>
      </w:pPr>
      <w:bookmarkStart w:name="heading_14" w:id="14"/>
      <w:r>
        <w:rPr>
          <w:rFonts w:eastAsia="等线" w:ascii="Arial" w:cs="Arial" w:hAnsi="Arial"/>
          <w:b w:val="true"/>
          <w:sz w:val="32"/>
        </w:rPr>
        <w:t>五、真实性、合规性说明</w:t>
      </w:r>
      <w:bookmarkEnd w:id="14"/>
    </w:p>
    <w:p>
      <w:pPr>
        <w:numPr>
          <w:numId w:val="20"/>
        </w:numPr>
        <w:spacing w:before="120" w:after="120" w:line="288" w:lineRule="auto"/>
        <w:ind w:left="0"/>
        <w:jc w:val="left"/>
      </w:pPr>
      <w:r>
        <w:rPr>
          <w:rFonts w:eastAsia="等线" w:ascii="Arial" w:cs="Arial" w:hAnsi="Arial"/>
          <w:sz w:val="22"/>
        </w:rPr>
        <w:t>真实性：本次检测所有数据均为现场实测，检测过程全程留痕，检测原始记录、实测影像资料、设备检定证书等均完整留存，可通过现场核查、资料查阅等方式验证，所有数据真实有效、可追溯，无虚构、篡改情况。</w:t>
      </w:r>
    </w:p>
    <w:p>
      <w:pPr>
        <w:numPr>
          <w:numId w:val="21"/>
        </w:numPr>
        <w:spacing w:before="120" w:after="120" w:line="288" w:lineRule="auto"/>
        <w:ind w:left="0"/>
        <w:jc w:val="left"/>
      </w:pPr>
      <w:r>
        <w:rPr>
          <w:rFonts w:eastAsia="等线" w:ascii="Arial" w:cs="Arial" w:hAnsi="Arial"/>
          <w:sz w:val="22"/>
        </w:rPr>
        <w:t>合规性：检测单位具备甲级检测资质，检测人员具备相应检测资格，检测流程严格遵循相关规范及标准，检测方案经委托单位确认，检测过程合规，检测结论客观公正，符合绿建二星级评价对检测报告的相关要求，检测报告已在驻马店市住房和城乡建设局备案（备案编号：JC-BA-20220815）。</w:t>
      </w:r>
    </w:p>
    <w:p>
      <w:pPr>
        <w:numPr>
          <w:numId w:val="22"/>
        </w:numPr>
        <w:spacing w:before="120" w:after="120" w:line="288" w:lineRule="auto"/>
        <w:ind w:left="0"/>
        <w:jc w:val="left"/>
      </w:pPr>
      <w:r>
        <w:rPr>
          <w:rFonts w:eastAsia="等线" w:ascii="Arial" w:cs="Arial" w:hAnsi="Arial"/>
          <w:sz w:val="22"/>
        </w:rPr>
        <w:t>归档管理：本次检测相关资料（检测报告、原始记录、影像资料、设备检定证书、备案证明等）均采用“纸质打印+电子备份”双归档模式，电子档存储于驻马店市建筑工程质量检测中心专用服务器（服务器编号：JC-FW-2022），纸质打印件装订成册（共3册，编号：JC-ZMD-BWG-2022001至2022003），可随时接受绿建评价部门、住房和城乡建设局等相关单位的核查。</w:t>
      </w:r>
    </w:p>
    <w:p>
      <w:pPr>
        <w:numPr>
          <w:numId w:val="23"/>
        </w:numPr>
        <w:spacing w:before="120" w:after="120" w:line="288" w:lineRule="auto"/>
        <w:ind w:left="0"/>
        <w:jc w:val="left"/>
      </w:pPr>
      <w:r>
        <w:rPr>
          <w:rFonts w:eastAsia="等线" w:ascii="Arial" w:cs="Arial" w:hAnsi="Arial"/>
          <w:sz w:val="22"/>
        </w:rPr>
        <w:t>责任说明：检测单位（驻马店市建筑工程质量检测中心）对本次检测报告内容及数据的真实性、合规性负责，如发现检测数据存在虚构、篡改等情况，由检测单位承担全部相关责任；检测负责人、技术负责人对检测数据及结论签字确认，确保报告可追溯、可核查。</w:t>
      </w:r>
    </w:p>
    <w:p>
      <w:pPr>
        <w:pStyle w:val="2"/>
        <w:spacing w:before="320" w:after="120" w:line="288" w:lineRule="auto"/>
        <w:ind w:left="0"/>
        <w:jc w:val="left"/>
        <w:outlineLvl w:val="1"/>
      </w:pPr>
      <w:bookmarkStart w:name="heading_15" w:id="15"/>
      <w:r>
        <w:rPr>
          <w:rFonts w:eastAsia="等线" w:ascii="Arial" w:cs="Arial" w:hAnsi="Arial"/>
          <w:b w:val="true"/>
          <w:sz w:val="32"/>
        </w:rPr>
        <w:t>六、签字确认（佐证报告真实性）</w:t>
      </w:r>
      <w:bookmarkEnd w:id="15"/>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日期：2022年8月15日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技术负责人（签字）：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赵XX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日期：2022年8月15日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驻马店市建筑工程质量检测中心</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日期：2022年8月15日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委托单位确认（签字）：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日期：2022年8月16日</w:t>
            </w:r>
          </w:p>
        </w:tc>
      </w:tr>
    </w:tbl>
    <w:p>
      <w:pPr>
        <w:spacing w:before="120" w:after="120" w:line="288" w:lineRule="auto"/>
        <w:ind w:left="0"/>
        <w:jc w:val="left"/>
      </w:pPr>
      <w:r>
        <w:rPr>
          <w:rFonts w:eastAsia="等线" w:ascii="Arial" w:cs="Arial" w:hAnsi="Arial"/>
          <w:sz w:val="22"/>
        </w:rPr>
        <w:t>附件：1. 检测原始记录；2. 检测现场影像资料；3. 检测设备计量检定证书；4. 检测单位资质证书；5. 备案证明；6. 旧建筑原始设计图纸及施工记录。</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5806685">
    <w:lvl>
      <w:numFmt w:val="bullet"/>
      <w:suff w:val="tab"/>
      <w:lvlText w:val="•"/>
      <w:rPr>
        <w:color w:val="3370ff"/>
      </w:rPr>
    </w:lvl>
  </w:abstractNum>
  <w:abstractNum w:abstractNumId="5806686">
    <w:lvl>
      <w:numFmt w:val="bullet"/>
      <w:suff w:val="tab"/>
      <w:lvlText w:val="•"/>
      <w:rPr>
        <w:color w:val="3370ff"/>
      </w:rPr>
    </w:lvl>
  </w:abstractNum>
  <w:abstractNum w:abstractNumId="5806687">
    <w:lvl>
      <w:numFmt w:val="bullet"/>
      <w:suff w:val="tab"/>
      <w:lvlText w:val="•"/>
      <w:rPr>
        <w:color w:val="3370ff"/>
      </w:rPr>
    </w:lvl>
  </w:abstractNum>
  <w:abstractNum w:abstractNumId="5806688">
    <w:lvl>
      <w:numFmt w:val="bullet"/>
      <w:suff w:val="tab"/>
      <w:lvlText w:val="•"/>
      <w:rPr>
        <w:color w:val="3370ff"/>
      </w:rPr>
    </w:lvl>
  </w:abstractNum>
  <w:abstractNum w:abstractNumId="5806689">
    <w:lvl>
      <w:numFmt w:val="bullet"/>
      <w:suff w:val="tab"/>
      <w:lvlText w:val="•"/>
      <w:rPr>
        <w:color w:val="3370ff"/>
      </w:rPr>
    </w:lvl>
  </w:abstractNum>
  <w:abstractNum w:abstractNumId="5806690">
    <w:lvl>
      <w:numFmt w:val="bullet"/>
      <w:suff w:val="tab"/>
      <w:lvlText w:val="•"/>
      <w:rPr>
        <w:color w:val="3370ff"/>
      </w:rPr>
    </w:lvl>
  </w:abstractNum>
  <w:abstractNum w:abstractNumId="5806691">
    <w:lvl>
      <w:numFmt w:val="bullet"/>
      <w:suff w:val="tab"/>
      <w:lvlText w:val="•"/>
      <w:rPr>
        <w:color w:val="3370ff"/>
      </w:rPr>
    </w:lvl>
  </w:abstractNum>
  <w:abstractNum w:abstractNumId="5806692">
    <w:lvl>
      <w:numFmt w:val="bullet"/>
      <w:suff w:val="tab"/>
      <w:lvlText w:val="•"/>
      <w:rPr>
        <w:color w:val="3370ff"/>
      </w:rPr>
    </w:lvl>
  </w:abstractNum>
  <w:abstractNum w:abstractNumId="5806693">
    <w:lvl>
      <w:numFmt w:val="bullet"/>
      <w:suff w:val="tab"/>
      <w:lvlText w:val="•"/>
      <w:rPr>
        <w:color w:val="3370ff"/>
      </w:rPr>
    </w:lvl>
  </w:abstractNum>
  <w:abstractNum w:abstractNumId="5806694">
    <w:lvl>
      <w:numFmt w:val="bullet"/>
      <w:suff w:val="tab"/>
      <w:lvlText w:val="•"/>
      <w:rPr>
        <w:color w:val="3370ff"/>
      </w:rPr>
    </w:lvl>
  </w:abstractNum>
  <w:abstractNum w:abstractNumId="5806695">
    <w:lvl>
      <w:numFmt w:val="bullet"/>
      <w:suff w:val="tab"/>
      <w:lvlText w:val="•"/>
      <w:rPr>
        <w:color w:val="3370ff"/>
      </w:rPr>
    </w:lvl>
  </w:abstractNum>
  <w:abstractNum w:abstractNumId="5806696">
    <w:lvl>
      <w:numFmt w:val="bullet"/>
      <w:suff w:val="tab"/>
      <w:lvlText w:val="•"/>
      <w:rPr>
        <w:color w:val="3370ff"/>
      </w:rPr>
    </w:lvl>
  </w:abstractNum>
  <w:abstractNum w:abstractNumId="5806697">
    <w:lvl>
      <w:numFmt w:val="bullet"/>
      <w:suff w:val="tab"/>
      <w:lvlText w:val="•"/>
      <w:rPr>
        <w:color w:val="3370ff"/>
      </w:rPr>
    </w:lvl>
  </w:abstractNum>
  <w:abstractNum w:abstractNumId="5806698">
    <w:lvl>
      <w:numFmt w:val="bullet"/>
      <w:suff w:val="tab"/>
      <w:lvlText w:val="•"/>
      <w:rPr>
        <w:color w:val="3370ff"/>
      </w:rPr>
    </w:lvl>
  </w:abstractNum>
  <w:abstractNum w:abstractNumId="5806699">
    <w:lvl>
      <w:numFmt w:val="bullet"/>
      <w:suff w:val="tab"/>
      <w:lvlText w:val="•"/>
      <w:rPr>
        <w:color w:val="3370ff"/>
      </w:rPr>
    </w:lvl>
  </w:abstractNum>
  <w:abstractNum w:abstractNumId="5806700">
    <w:lvl>
      <w:start w:val="1"/>
      <w:numFmt w:val="decimal"/>
      <w:suff w:val="tab"/>
      <w:lvlText w:val="%1."/>
      <w:rPr>
        <w:color w:val="3370ff"/>
      </w:rPr>
    </w:lvl>
  </w:abstractNum>
  <w:abstractNum w:abstractNumId="5806701">
    <w:lvl>
      <w:start w:val="2"/>
      <w:numFmt w:val="decimal"/>
      <w:suff w:val="tab"/>
      <w:lvlText w:val="%1."/>
      <w:rPr>
        <w:color w:val="3370ff"/>
      </w:rPr>
    </w:lvl>
  </w:abstractNum>
  <w:abstractNum w:abstractNumId="5806702">
    <w:lvl>
      <w:start w:val="3"/>
      <w:numFmt w:val="decimal"/>
      <w:suff w:val="tab"/>
      <w:lvlText w:val="%1."/>
      <w:rPr>
        <w:color w:val="3370ff"/>
      </w:rPr>
    </w:lvl>
  </w:abstractNum>
  <w:abstractNum w:abstractNumId="5806703">
    <w:lvl>
      <w:start w:val="4"/>
      <w:numFmt w:val="decimal"/>
      <w:suff w:val="tab"/>
      <w:lvlText w:val="%1."/>
      <w:rPr>
        <w:color w:val="3370ff"/>
      </w:rPr>
    </w:lvl>
  </w:abstractNum>
  <w:abstractNum w:abstractNumId="5806704">
    <w:lvl>
      <w:start w:val="1"/>
      <w:numFmt w:val="decimal"/>
      <w:suff w:val="tab"/>
      <w:lvlText w:val="%1."/>
      <w:rPr>
        <w:color w:val="3370ff"/>
      </w:rPr>
    </w:lvl>
  </w:abstractNum>
  <w:abstractNum w:abstractNumId="5806705">
    <w:lvl>
      <w:start w:val="2"/>
      <w:numFmt w:val="decimal"/>
      <w:suff w:val="tab"/>
      <w:lvlText w:val="%1."/>
      <w:rPr>
        <w:color w:val="3370ff"/>
      </w:rPr>
    </w:lvl>
  </w:abstractNum>
  <w:abstractNum w:abstractNumId="5806706">
    <w:lvl>
      <w:start w:val="3"/>
      <w:numFmt w:val="decimal"/>
      <w:suff w:val="tab"/>
      <w:lvlText w:val="%1."/>
      <w:rPr>
        <w:color w:val="3370ff"/>
      </w:rPr>
    </w:lvl>
  </w:abstractNum>
  <w:abstractNum w:abstractNumId="5806707">
    <w:lvl>
      <w:start w:val="4"/>
      <w:numFmt w:val="decimal"/>
      <w:suff w:val="tab"/>
      <w:lvlText w:val="%1."/>
      <w:rPr>
        <w:color w:val="3370ff"/>
      </w:rPr>
    </w:lvl>
  </w:abstractNum>
  <w:num w:numId="1">
    <w:abstractNumId w:val="5806685"/>
  </w:num>
  <w:num w:numId="2">
    <w:abstractNumId w:val="5806686"/>
  </w:num>
  <w:num w:numId="3">
    <w:abstractNumId w:val="5806687"/>
  </w:num>
  <w:num w:numId="4">
    <w:abstractNumId w:val="5806688"/>
  </w:num>
  <w:num w:numId="5">
    <w:abstractNumId w:val="5806689"/>
  </w:num>
  <w:num w:numId="6">
    <w:abstractNumId w:val="5806690"/>
  </w:num>
  <w:num w:numId="7">
    <w:abstractNumId w:val="5806691"/>
  </w:num>
  <w:num w:numId="8">
    <w:abstractNumId w:val="5806692"/>
  </w:num>
  <w:num w:numId="9">
    <w:abstractNumId w:val="5806693"/>
  </w:num>
  <w:num w:numId="10">
    <w:abstractNumId w:val="5806694"/>
  </w:num>
  <w:num w:numId="11">
    <w:abstractNumId w:val="5806695"/>
  </w:num>
  <w:num w:numId="12">
    <w:abstractNumId w:val="5806696"/>
  </w:num>
  <w:num w:numId="13">
    <w:abstractNumId w:val="5806697"/>
  </w:num>
  <w:num w:numId="14">
    <w:abstractNumId w:val="5806698"/>
  </w:num>
  <w:num w:numId="15">
    <w:abstractNumId w:val="5806699"/>
  </w:num>
  <w:num w:numId="16">
    <w:abstractNumId w:val="5806700"/>
  </w:num>
  <w:num w:numId="17">
    <w:abstractNumId w:val="5806701"/>
  </w:num>
  <w:num w:numId="18">
    <w:abstractNumId w:val="5806702"/>
  </w:num>
  <w:num w:numId="19">
    <w:abstractNumId w:val="5806703"/>
  </w:num>
  <w:num w:numId="20">
    <w:abstractNumId w:val="5806704"/>
  </w:num>
  <w:num w:numId="21">
    <w:abstractNumId w:val="5806705"/>
  </w:num>
  <w:num w:numId="22">
    <w:abstractNumId w:val="5806706"/>
  </w:num>
  <w:num w:numId="23">
    <w:abstractNumId w:val="5806707"/>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2026-03-28T14:15:00Z</dcterms:created>
  <dc:creator>Apache POI</dc:creator>
</cp:coreProperties>
</file>