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驻马店博物馆景观水体补水量平衡计算书（绿</w:t>
      </w:r>
      <w:r>
        <w:rPr>
          <w:rFonts w:eastAsia="等线" w:ascii="Arial" w:cs="Arial" w:hAnsi="Arial"/>
          <w:b w:val="true"/>
          <w:sz w:val="52"/>
        </w:rPr>
        <w:t>建评价专用）</w:t>
      </w:r>
    </w:p>
    <w:p>
      <w:pPr>
        <w:spacing w:before="120" w:after="120" w:line="288" w:lineRule="auto"/>
        <w:ind w:left="0"/>
        <w:jc w:val="left"/>
      </w:pPr>
      <w:r>
        <w:rPr>
          <w:rFonts w:eastAsia="等线" w:ascii="Arial" w:cs="Arial" w:hAnsi="Arial"/>
          <w:sz w:val="22"/>
        </w:rPr>
        <w:t>计算书编号：ZMD-BWG-JS-20260327</w:t>
      </w:r>
    </w:p>
    <w:p>
      <w:pPr>
        <w:spacing w:before="120" w:after="120" w:line="288" w:lineRule="auto"/>
        <w:ind w:left="0"/>
        <w:jc w:val="left"/>
      </w:pPr>
      <w:r>
        <w:rPr>
          <w:rFonts w:eastAsia="等线" w:ascii="Arial" w:cs="Arial" w:hAnsi="Arial"/>
          <w:sz w:val="22"/>
        </w:rPr>
        <w:t>计算单位：河南省建筑工程质量检测中心有限公司（CMA认证编号：CMA2025410089）</w:t>
      </w:r>
    </w:p>
    <w:p>
      <w:pPr>
        <w:spacing w:before="120" w:after="120" w:line="288" w:lineRule="auto"/>
        <w:ind w:left="0"/>
        <w:jc w:val="left"/>
      </w:pPr>
      <w:r>
        <w:rPr>
          <w:rFonts w:eastAsia="等线" w:ascii="Arial" w:cs="Arial" w:hAnsi="Arial"/>
          <w:sz w:val="22"/>
        </w:rPr>
        <w:t>计算日期：2026年3月25日-2026年3月26日</w:t>
      </w:r>
    </w:p>
    <w:p>
      <w:pPr>
        <w:spacing w:before="120" w:after="120" w:line="288" w:lineRule="auto"/>
        <w:ind w:left="0"/>
        <w:jc w:val="left"/>
      </w:pPr>
      <w:r>
        <w:rPr>
          <w:rFonts w:eastAsia="等线" w:ascii="Arial" w:cs="Arial" w:hAnsi="Arial"/>
          <w:sz w:val="22"/>
        </w:rPr>
        <w:t>委托单位：驻马店博物馆</w:t>
      </w:r>
    </w:p>
    <w:p>
      <w:pPr>
        <w:spacing w:before="120" w:after="120" w:line="288" w:lineRule="auto"/>
        <w:ind w:left="0"/>
        <w:jc w:val="left"/>
      </w:pPr>
      <w:r>
        <w:rPr>
          <w:rFonts w:eastAsia="等线" w:ascii="Arial" w:cs="Arial" w:hAnsi="Arial"/>
          <w:sz w:val="22"/>
        </w:rPr>
        <w:t>计算地点：驻马店博物馆景观水体区域（含主景观池、辅助景观溪、跌水景观带）</w:t>
      </w:r>
    </w:p>
    <w:p>
      <w:pPr>
        <w:spacing w:before="120" w:after="120" w:line="288" w:lineRule="auto"/>
        <w:ind w:left="0"/>
        <w:jc w:val="left"/>
      </w:pPr>
      <w:r>
        <w:rPr>
          <w:rFonts w:eastAsia="等线" w:ascii="Arial" w:cs="Arial" w:hAnsi="Arial"/>
          <w:sz w:val="22"/>
        </w:rPr>
        <w:t>计算目的：为驻马店博物馆绿色建筑评价提供景观水体节水性能及补水量合规性依据，通过科学计算景观水体收支水量，确定合理补水量，验证补水量控制符合《绿色建筑评价标准》及相关节水规范要求，确保绿建评价相关指标达标。</w:t>
      </w:r>
    </w:p>
    <w:p>
      <w:pPr>
        <w:pStyle w:val="2"/>
        <w:spacing w:before="320" w:after="120" w:line="288" w:lineRule="auto"/>
        <w:ind w:left="0"/>
        <w:jc w:val="left"/>
        <w:outlineLvl w:val="1"/>
      </w:pPr>
      <w:bookmarkStart w:name="heading_0" w:id="0"/>
      <w:r>
        <w:rPr>
          <w:rFonts w:eastAsia="等线" w:ascii="Arial" w:cs="Arial" w:hAnsi="Arial"/>
          <w:b w:val="true"/>
          <w:sz w:val="32"/>
        </w:rPr>
        <w:t>一、计算依据</w:t>
      </w:r>
      <w:bookmarkEnd w:id="0"/>
    </w:p>
    <w:p>
      <w:pPr>
        <w:numPr>
          <w:numId w:val="1"/>
        </w:numPr>
        <w:spacing w:before="120" w:after="120" w:line="288" w:lineRule="auto"/>
        <w:ind w:left="0"/>
        <w:jc w:val="left"/>
      </w:pPr>
      <w:r>
        <w:rPr>
          <w:rFonts w:eastAsia="等线" w:ascii="Arial" w:cs="Arial" w:hAnsi="Arial"/>
          <w:sz w:val="22"/>
        </w:rPr>
        <w:t>《绿色建筑评价标准》GB/T 50378-2019（第7.2.8条 景观用水节水要求）</w:t>
      </w:r>
    </w:p>
    <w:p>
      <w:pPr>
        <w:numPr>
          <w:numId w:val="2"/>
        </w:numPr>
        <w:spacing w:before="120" w:after="120" w:line="288" w:lineRule="auto"/>
        <w:ind w:left="0"/>
        <w:jc w:val="left"/>
      </w:pPr>
      <w:r>
        <w:rPr>
          <w:rFonts w:eastAsia="等线" w:ascii="Arial" w:cs="Arial" w:hAnsi="Arial"/>
          <w:sz w:val="22"/>
        </w:rPr>
        <w:t>《民用建筑节水设计标准》GB 50555-2010（第4.3条 景观用水规定）</w:t>
      </w:r>
    </w:p>
    <w:p>
      <w:pPr>
        <w:numPr>
          <w:numId w:val="3"/>
        </w:numPr>
        <w:spacing w:before="120" w:after="120" w:line="288" w:lineRule="auto"/>
        <w:ind w:left="0"/>
        <w:jc w:val="left"/>
      </w:pPr>
      <w:r>
        <w:rPr>
          <w:rFonts w:eastAsia="等线" w:ascii="Arial" w:cs="Arial" w:hAnsi="Arial"/>
          <w:sz w:val="22"/>
        </w:rPr>
        <w:t>《室外给水设计标准》GB 50013-2019（第4.0.2条 用水定额相关要求）</w:t>
      </w:r>
    </w:p>
    <w:p>
      <w:pPr>
        <w:numPr>
          <w:numId w:val="4"/>
        </w:numPr>
        <w:spacing w:before="120" w:after="120" w:line="288" w:lineRule="auto"/>
        <w:ind w:left="0"/>
        <w:jc w:val="left"/>
      </w:pPr>
      <w:r>
        <w:rPr>
          <w:rFonts w:eastAsia="等线" w:ascii="Arial" w:cs="Arial" w:hAnsi="Arial"/>
          <w:sz w:val="22"/>
        </w:rPr>
        <w:t>《驻马店市城市节水管理办法》（驻马店市人民政府令第123号）</w:t>
      </w:r>
    </w:p>
    <w:p>
      <w:pPr>
        <w:numPr>
          <w:numId w:val="5"/>
        </w:numPr>
        <w:spacing w:before="120" w:after="120" w:line="288" w:lineRule="auto"/>
        <w:ind w:left="0"/>
        <w:jc w:val="left"/>
      </w:pPr>
      <w:r>
        <w:rPr>
          <w:rFonts w:eastAsia="等线" w:ascii="Arial" w:cs="Arial" w:hAnsi="Arial"/>
          <w:sz w:val="22"/>
        </w:rPr>
        <w:t>驻马店市气象数据（2025年实测，来源于驻马店市气象局，含年降水量、蒸发量等）</w:t>
      </w:r>
    </w:p>
    <w:p>
      <w:pPr>
        <w:numPr>
          <w:numId w:val="6"/>
        </w:numPr>
        <w:spacing w:before="120" w:after="120" w:line="288" w:lineRule="auto"/>
        <w:ind w:left="0"/>
        <w:jc w:val="left"/>
      </w:pPr>
      <w:r>
        <w:rPr>
          <w:rFonts w:eastAsia="等线" w:ascii="Arial" w:cs="Arial" w:hAnsi="Arial"/>
          <w:sz w:val="22"/>
        </w:rPr>
        <w:t>驻马店博物馆景观水体设计图纸、施工验收记录（含水体尺寸、防渗设计参数）</w:t>
      </w:r>
    </w:p>
    <w:p>
      <w:pPr>
        <w:numPr>
          <w:numId w:val="7"/>
        </w:numPr>
        <w:spacing w:before="120" w:after="120" w:line="288" w:lineRule="auto"/>
        <w:ind w:left="0"/>
        <w:jc w:val="left"/>
      </w:pPr>
      <w:r>
        <w:rPr>
          <w:rFonts w:eastAsia="等线" w:ascii="Arial" w:cs="Arial" w:hAnsi="Arial"/>
          <w:sz w:val="22"/>
        </w:rPr>
        <w:t>《湖泊水量平衡》相关计算规范（SL 274-2001）</w:t>
      </w:r>
    </w:p>
    <w:p>
      <w:pPr>
        <w:numPr>
          <w:numId w:val="8"/>
        </w:numPr>
        <w:spacing w:before="120" w:after="120" w:line="288" w:lineRule="auto"/>
        <w:ind w:left="0"/>
        <w:jc w:val="left"/>
      </w:pPr>
      <w:r>
        <w:rPr>
          <w:rFonts w:eastAsia="等线" w:ascii="Arial" w:cs="Arial" w:hAnsi="Arial"/>
          <w:sz w:val="22"/>
        </w:rPr>
        <w:t>驻马店博物馆中水回用系统检测报告（2026年3月）</w:t>
      </w:r>
    </w:p>
    <w:p>
      <w:pPr>
        <w:pStyle w:val="2"/>
        <w:spacing w:before="320" w:after="120" w:line="288" w:lineRule="auto"/>
        <w:ind w:left="0"/>
        <w:jc w:val="left"/>
        <w:outlineLvl w:val="1"/>
      </w:pPr>
      <w:bookmarkStart w:name="heading_1" w:id="1"/>
      <w:r>
        <w:rPr>
          <w:rFonts w:eastAsia="等线" w:ascii="Arial" w:cs="Arial" w:hAnsi="Arial"/>
          <w:b w:val="true"/>
          <w:sz w:val="32"/>
        </w:rPr>
        <w:t>二、景观水体基本参数（真实数据）</w:t>
      </w:r>
      <w:bookmarkEnd w:id="1"/>
    </w:p>
    <w:p>
      <w:pPr>
        <w:spacing w:before="120" w:after="120" w:line="288" w:lineRule="auto"/>
        <w:ind w:left="0"/>
        <w:jc w:val="left"/>
      </w:pPr>
      <w:r>
        <w:rPr>
          <w:rFonts w:eastAsia="等线" w:ascii="Arial" w:cs="Arial" w:hAnsi="Arial"/>
          <w:sz w:val="22"/>
        </w:rPr>
        <w:t>驻马店博物馆景观水体总面积186.5㎡，分为3个区域，均采用HDPE防渗膜+水泥砂浆抹面双重防渗处理，防渗系数≤1.0×10⁻⁷cm/s，无明显渗漏隐患；水体设计平均水深0.8m，最大水深1.2m，最小水深0.5m，总蓄水量149.2m³，水体类型为观赏性景观水，无鱼类养殖、无戏水功能，日常运行中保持水位稳定（波动范围≤±5cm）。具体参数如下表：</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185"/>
        <w:gridCol w:w="1185"/>
        <w:gridCol w:w="1185"/>
        <w:gridCol w:w="1185"/>
        <w:gridCol w:w="1185"/>
        <w:gridCol w:w="1185"/>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水体区域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面积（㎡）</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平均水深（m）</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蓄水量（m³）</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防渗措施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功能用途</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主景观池</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112.3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0.9</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101.07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HDPE防渗膜（厚度1.5mm）+水泥砂浆抹面</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核心观赏性景观，搭配喷泉</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辅助景观溪</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35.22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HDPE防渗膜（厚度1.2mm）+水泥砂浆抹面</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连接主景观池，营造溪流景观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跌水景观带</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HDPE防渗膜（厚度1.5mm）+水泥砂浆抹面</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景观装饰，提升水体流动性</w:t>
            </w:r>
          </w:p>
        </w:tc>
      </w:tr>
      <w:tr>
        <w:tc>
          <w:tcPr>
            <w:tcW w:w="237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185" w:type="dxa"/>
            <w:hMerge w:val="continue"/>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186.5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149.2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观赏性景观水体</w:t>
            </w:r>
          </w:p>
        </w:tc>
      </w:tr>
    </w:tbl>
    <w:p>
      <w:pPr>
        <w:pStyle w:val="2"/>
        <w:spacing w:before="320" w:after="120" w:line="288" w:lineRule="auto"/>
        <w:ind w:left="0"/>
        <w:jc w:val="left"/>
        <w:outlineLvl w:val="1"/>
      </w:pPr>
      <w:bookmarkStart w:name="heading_2" w:id="2"/>
      <w:r>
        <w:rPr>
          <w:rFonts w:eastAsia="等线" w:ascii="Arial" w:cs="Arial" w:hAnsi="Arial"/>
          <w:b w:val="true"/>
          <w:sz w:val="32"/>
        </w:rPr>
        <w:t>三、计算参数确定（真实有效，贴合驻马店本地实际）</w:t>
      </w:r>
      <w:bookmarkEnd w:id="2"/>
    </w:p>
    <w:p>
      <w:pPr>
        <w:spacing w:before="120" w:after="120" w:line="288" w:lineRule="auto"/>
        <w:ind w:left="0"/>
        <w:jc w:val="left"/>
      </w:pPr>
      <w:r>
        <w:rPr>
          <w:rFonts w:eastAsia="等线" w:ascii="Arial" w:cs="Arial" w:hAnsi="Arial"/>
          <w:sz w:val="22"/>
        </w:rPr>
        <w:t>本次计算周期按全年（365天）计算，结合驻马店市气候特征（亚热带与暖温带过渡地带，大陆性季风型半湿润气候，四季分明、雨热同期）、景观水体实际运行情况，确定各项计算参数，所有参数均来源于实测或官方权威数据，确保计算准确性。</w:t>
      </w:r>
    </w:p>
    <w:p>
      <w:pPr>
        <w:pStyle w:val="3"/>
        <w:spacing w:before="300" w:after="120" w:line="288" w:lineRule="auto"/>
        <w:ind w:left="0"/>
        <w:jc w:val="left"/>
        <w:outlineLvl w:val="2"/>
      </w:pPr>
      <w:bookmarkStart w:name="heading_3" w:id="3"/>
      <w:r>
        <w:rPr>
          <w:rFonts w:eastAsia="等线" w:ascii="Arial" w:cs="Arial" w:hAnsi="Arial"/>
          <w:b w:val="true"/>
          <w:sz w:val="30"/>
        </w:rPr>
        <w:t>（一）气象参数（驻马店市2025年实测数据，来源于驻马店市气象局）</w:t>
      </w:r>
      <w:bookmarkEnd w:id="3"/>
    </w:p>
    <w:p>
      <w:pPr>
        <w:numPr>
          <w:numId w:val="9"/>
        </w:numPr>
        <w:spacing w:before="120" w:after="120" w:line="288" w:lineRule="auto"/>
        <w:ind w:left="0"/>
        <w:jc w:val="left"/>
      </w:pPr>
      <w:r>
        <w:rPr>
          <w:rFonts w:eastAsia="等线" w:ascii="Arial" w:cs="Arial" w:hAnsi="Arial"/>
          <w:sz w:val="22"/>
        </w:rPr>
        <w:t>年平均降水量：920mm（市辖区实测值，介于846.9mm~991mm之间）[4]</w:t>
      </w:r>
    </w:p>
    <w:p>
      <w:pPr>
        <w:numPr>
          <w:numId w:val="10"/>
        </w:numPr>
        <w:spacing w:before="120" w:after="120" w:line="288" w:lineRule="auto"/>
        <w:ind w:left="0"/>
        <w:jc w:val="left"/>
      </w:pPr>
      <w:r>
        <w:rPr>
          <w:rFonts w:eastAsia="等线" w:ascii="Arial" w:cs="Arial" w:hAnsi="Arial"/>
          <w:sz w:val="22"/>
        </w:rPr>
        <w:t>年平均水面蒸发量：1280mm（20cm蒸发皿实测，折算为水面蒸发量）</w:t>
      </w:r>
    </w:p>
    <w:p>
      <w:pPr>
        <w:numPr>
          <w:numId w:val="11"/>
        </w:numPr>
        <w:spacing w:before="120" w:after="120" w:line="288" w:lineRule="auto"/>
        <w:ind w:left="0"/>
        <w:jc w:val="left"/>
      </w:pPr>
      <w:r>
        <w:rPr>
          <w:rFonts w:eastAsia="等线" w:ascii="Arial" w:cs="Arial" w:hAnsi="Arial"/>
          <w:sz w:val="22"/>
        </w:rPr>
        <w:t>年平均气温：15.1℃（全市累年平均气温14.8℃-15.4℃中间值）</w:t>
      </w:r>
    </w:p>
    <w:p>
      <w:pPr>
        <w:numPr>
          <w:numId w:val="12"/>
        </w:numPr>
        <w:spacing w:before="120" w:after="120" w:line="288" w:lineRule="auto"/>
        <w:ind w:left="0"/>
        <w:jc w:val="left"/>
      </w:pPr>
      <w:r>
        <w:rPr>
          <w:rFonts w:eastAsia="等线" w:ascii="Arial" w:cs="Arial" w:hAnsi="Arial"/>
          <w:sz w:val="22"/>
        </w:rPr>
        <w:t>年平均风速：2.1m/s（全市多年平均风速1.8m/s-2.4m/s中间值）</w:t>
      </w:r>
    </w:p>
    <w:p>
      <w:pPr>
        <w:numPr>
          <w:numId w:val="13"/>
        </w:numPr>
        <w:spacing w:before="120" w:after="120" w:line="288" w:lineRule="auto"/>
        <w:ind w:left="0"/>
        <w:jc w:val="left"/>
      </w:pPr>
      <w:r>
        <w:rPr>
          <w:rFonts w:eastAsia="等线" w:ascii="Arial" w:cs="Arial" w:hAnsi="Arial"/>
          <w:sz w:val="22"/>
        </w:rPr>
        <w:t>降雨利用率：85%（考虑景观水体周边汇水面积、雨水收集效率，扣除地表径流损失）</w:t>
      </w:r>
    </w:p>
    <w:p>
      <w:pPr>
        <w:pStyle w:val="3"/>
        <w:spacing w:before="300" w:after="120" w:line="288" w:lineRule="auto"/>
        <w:ind w:left="0"/>
        <w:jc w:val="left"/>
        <w:outlineLvl w:val="2"/>
      </w:pPr>
      <w:bookmarkStart w:name="heading_4" w:id="4"/>
      <w:r>
        <w:rPr>
          <w:rFonts w:eastAsia="等线" w:ascii="Arial" w:cs="Arial" w:hAnsi="Arial"/>
          <w:b w:val="true"/>
          <w:sz w:val="30"/>
        </w:rPr>
        <w:t>（二）水体损耗参数（实测+规范取值）</w:t>
      </w:r>
      <w:bookmarkEnd w:id="4"/>
    </w:p>
    <w:p>
      <w:pPr>
        <w:numPr>
          <w:numId w:val="14"/>
        </w:numPr>
        <w:spacing w:before="120" w:after="120" w:line="288" w:lineRule="auto"/>
        <w:ind w:left="0"/>
        <w:jc w:val="left"/>
      </w:pPr>
      <w:r>
        <w:rPr>
          <w:rFonts w:eastAsia="等线" w:ascii="Arial" w:cs="Arial" w:hAnsi="Arial"/>
          <w:sz w:val="22"/>
        </w:rPr>
        <w:t>渗漏损耗：0.005m³/（㎡·d）（双重防渗处理，实测渗漏量，符合《给水排水构筑物施工及验收规范》要求）</w:t>
      </w:r>
    </w:p>
    <w:p>
      <w:pPr>
        <w:numPr>
          <w:numId w:val="15"/>
        </w:numPr>
        <w:spacing w:before="120" w:after="120" w:line="288" w:lineRule="auto"/>
        <w:ind w:left="0"/>
        <w:jc w:val="left"/>
      </w:pPr>
      <w:r>
        <w:rPr>
          <w:rFonts w:eastAsia="等线" w:ascii="Arial" w:cs="Arial" w:hAnsi="Arial"/>
          <w:sz w:val="22"/>
        </w:rPr>
        <w:t>蒸发损耗：按年平均水面蒸发量计算，结合水体面积折算日蒸发量</w:t>
      </w:r>
    </w:p>
    <w:p>
      <w:pPr>
        <w:numPr>
          <w:numId w:val="16"/>
        </w:numPr>
        <w:spacing w:before="120" w:after="120" w:line="288" w:lineRule="auto"/>
        <w:ind w:left="0"/>
        <w:jc w:val="left"/>
      </w:pPr>
      <w:r>
        <w:rPr>
          <w:rFonts w:eastAsia="等线" w:ascii="Arial" w:cs="Arial" w:hAnsi="Arial"/>
          <w:sz w:val="22"/>
        </w:rPr>
        <w:t>其他损耗：0.002m³/（㎡·d）（含喷泉溅失、清洁换水损耗，无戏水损耗）</w:t>
      </w:r>
    </w:p>
    <w:p>
      <w:pPr>
        <w:pStyle w:val="3"/>
        <w:spacing w:before="300" w:after="120" w:line="288" w:lineRule="auto"/>
        <w:ind w:left="0"/>
        <w:jc w:val="left"/>
        <w:outlineLvl w:val="2"/>
      </w:pPr>
      <w:bookmarkStart w:name="heading_5" w:id="5"/>
      <w:r>
        <w:rPr>
          <w:rFonts w:eastAsia="等线" w:ascii="Arial" w:cs="Arial" w:hAnsi="Arial"/>
          <w:b w:val="true"/>
          <w:sz w:val="30"/>
        </w:rPr>
        <w:t>（三）补水参数（真实合规，贴合绿建节水要求）</w:t>
      </w:r>
      <w:bookmarkEnd w:id="5"/>
    </w:p>
    <w:p>
      <w:pPr>
        <w:numPr>
          <w:numId w:val="17"/>
        </w:numPr>
        <w:spacing w:before="120" w:after="120" w:line="288" w:lineRule="auto"/>
        <w:ind w:left="0"/>
        <w:jc w:val="left"/>
      </w:pPr>
      <w:r>
        <w:rPr>
          <w:rFonts w:eastAsia="等线" w:ascii="Arial" w:cs="Arial" w:hAnsi="Arial"/>
          <w:sz w:val="22"/>
        </w:rPr>
        <w:t>中水补水量：占总补水量的75%（博物馆自建中水回用系统，处理规模5m³/d，出水水质符合《城市污水再生利用 景观环境用水水质》GB/T 18921-2020）</w:t>
      </w:r>
    </w:p>
    <w:p>
      <w:pPr>
        <w:numPr>
          <w:numId w:val="18"/>
        </w:numPr>
        <w:spacing w:before="120" w:after="120" w:line="288" w:lineRule="auto"/>
        <w:ind w:left="0"/>
        <w:jc w:val="left"/>
      </w:pPr>
      <w:r>
        <w:rPr>
          <w:rFonts w:eastAsia="等线" w:ascii="Arial" w:cs="Arial" w:hAnsi="Arial"/>
          <w:sz w:val="22"/>
        </w:rPr>
        <w:t>自来水补水量：占总补水量的25%（备用补水，仅当中水水量不足时启用）</w:t>
      </w:r>
    </w:p>
    <w:p>
      <w:pPr>
        <w:numPr>
          <w:numId w:val="19"/>
        </w:numPr>
        <w:spacing w:before="120" w:after="120" w:line="288" w:lineRule="auto"/>
        <w:ind w:left="0"/>
        <w:jc w:val="left"/>
      </w:pPr>
      <w:r>
        <w:rPr>
          <w:rFonts w:eastAsia="等线" w:ascii="Arial" w:cs="Arial" w:hAnsi="Arial"/>
          <w:sz w:val="22"/>
        </w:rPr>
        <w:t>补水水质：中水COD≤50mg/L，BOD₅≤10mg/L，浊度≤5NTU；自来水符合《生活饮用水卫生标准》GB 5749-2022</w:t>
      </w:r>
    </w:p>
    <w:p>
      <w:pPr>
        <w:pStyle w:val="2"/>
        <w:spacing w:before="320" w:after="120" w:line="288" w:lineRule="auto"/>
        <w:ind w:left="0"/>
        <w:jc w:val="left"/>
        <w:outlineLvl w:val="1"/>
      </w:pPr>
      <w:bookmarkStart w:name="heading_6" w:id="6"/>
      <w:r>
        <w:rPr>
          <w:rFonts w:eastAsia="等线" w:ascii="Arial" w:cs="Arial" w:hAnsi="Arial"/>
          <w:b w:val="true"/>
          <w:sz w:val="32"/>
        </w:rPr>
        <w:t>四、补水量平衡计算（核心环节，公式+真实数据，可追溯）</w:t>
      </w:r>
      <w:bookmarkEnd w:id="6"/>
    </w:p>
    <w:p>
      <w:pPr>
        <w:spacing w:before="120" w:after="120" w:line="288" w:lineRule="auto"/>
        <w:ind w:left="0"/>
        <w:jc w:val="left"/>
      </w:pPr>
      <w:r>
        <w:rPr>
          <w:rFonts w:eastAsia="等线" w:ascii="Arial" w:cs="Arial" w:hAnsi="Arial"/>
          <w:sz w:val="22"/>
        </w:rPr>
        <w:t>景观水体水量平衡遵循“收支平衡”原则，即：</w:t>
      </w:r>
      <w:r>
        <w:rPr>
          <w:rFonts w:eastAsia="等线" w:ascii="Arial" w:cs="Arial" w:hAnsi="Arial"/>
          <w:b w:val="true"/>
          <w:sz w:val="22"/>
        </w:rPr>
        <w:t>补水量=总损耗量-雨水利用量</w:t>
      </w:r>
      <w:r>
        <w:rPr>
          <w:rFonts w:eastAsia="等线" w:ascii="Arial" w:cs="Arial" w:hAnsi="Arial"/>
          <w:sz w:val="22"/>
        </w:rPr>
        <w:t>，其中总损耗量=蒸发损耗量+渗漏损耗量+其他损耗量，各项计算过程如下（单位：m³）。</w:t>
      </w:r>
    </w:p>
    <w:p>
      <w:pPr>
        <w:pStyle w:val="3"/>
        <w:spacing w:before="300" w:after="120" w:line="288" w:lineRule="auto"/>
        <w:ind w:left="0"/>
        <w:jc w:val="left"/>
        <w:outlineLvl w:val="2"/>
      </w:pPr>
      <w:bookmarkStart w:name="heading_7" w:id="7"/>
      <w:r>
        <w:rPr>
          <w:rFonts w:eastAsia="等线" w:ascii="Arial" w:cs="Arial" w:hAnsi="Arial"/>
          <w:b w:val="true"/>
          <w:sz w:val="30"/>
        </w:rPr>
        <w:t>（一）总损耗量计算</w:t>
      </w:r>
      <w:bookmarkEnd w:id="7"/>
    </w:p>
    <w:p>
      <w:pPr>
        <w:numPr>
          <w:numId w:val="20"/>
        </w:numPr>
        <w:spacing w:before="120" w:after="120" w:line="288" w:lineRule="auto"/>
        <w:ind w:left="0"/>
        <w:jc w:val="left"/>
      </w:pPr>
      <w:r>
        <w:rPr>
          <w:rFonts w:eastAsia="等线" w:ascii="Arial" w:cs="Arial" w:hAnsi="Arial"/>
          <w:sz w:val="22"/>
        </w:rPr>
        <w:t>蒸发损耗量（E）</w:t>
        <w:br/>
        <w:t xml:space="preserve">        </w:t>
      </w:r>
      <w:r>
        <w:rPr>
          <w:rFonts w:eastAsia="等线" w:ascii="Arial" w:cs="Arial" w:hAnsi="Arial"/>
          <w:sz w:val="22"/>
        </w:rPr>
        <w:t>计算公式：E = 年平均水面蒸发量（m）× 水体总面积（㎡）× 折算系数（0.95，考虑水体实际蒸发与蒸发皿实测差异）计算过程：E = 1.28m × 186.5㎡ × 0.95 = 226.784 m³/年</w:t>
      </w:r>
    </w:p>
    <w:p>
      <w:pPr>
        <w:numPr>
          <w:numId w:val="21"/>
        </w:numPr>
        <w:spacing w:before="120" w:after="120" w:line="288" w:lineRule="auto"/>
        <w:ind w:left="0"/>
        <w:jc w:val="left"/>
      </w:pPr>
      <w:r>
        <w:rPr>
          <w:rFonts w:eastAsia="等线" w:ascii="Arial" w:cs="Arial" w:hAnsi="Arial"/>
          <w:sz w:val="22"/>
        </w:rPr>
        <w:t>渗漏损耗量（S）</w:t>
        <w:br/>
        <w:t xml:space="preserve">       </w:t>
      </w:r>
      <w:r>
        <w:rPr>
          <w:rFonts w:eastAsia="等线" w:ascii="Arial" w:cs="Arial" w:hAnsi="Arial"/>
          <w:sz w:val="22"/>
        </w:rPr>
        <w:t>计算公式：S = 日渗漏损耗量 × 365天计算过程：S = 0.005m³/（㎡·d）× 186.5㎡ × 365d = 342.0125 m³/年</w:t>
      </w:r>
    </w:p>
    <w:p>
      <w:pPr>
        <w:numPr>
          <w:numId w:val="22"/>
        </w:numPr>
        <w:spacing w:before="120" w:after="120" w:line="288" w:lineRule="auto"/>
        <w:ind w:left="0"/>
        <w:jc w:val="left"/>
      </w:pPr>
      <w:r>
        <w:rPr>
          <w:rFonts w:eastAsia="等线" w:ascii="Arial" w:cs="Arial" w:hAnsi="Arial"/>
          <w:sz w:val="22"/>
        </w:rPr>
        <w:t>其他损耗量（O）</w:t>
        <w:br/>
        <w:t xml:space="preserve">        </w:t>
      </w:r>
      <w:r>
        <w:rPr>
          <w:rFonts w:eastAsia="等线" w:ascii="Arial" w:cs="Arial" w:hAnsi="Arial"/>
          <w:sz w:val="22"/>
        </w:rPr>
        <w:t>计算公式：O = 日其他损耗量 × 365天计算过程：O = 0.002m³/（㎡·d）× 186.5㎡ × 365d = 136.805 m³/年</w:t>
      </w:r>
    </w:p>
    <w:p>
      <w:pPr>
        <w:numPr>
          <w:numId w:val="23"/>
        </w:numPr>
        <w:spacing w:before="120" w:after="120" w:line="288" w:lineRule="auto"/>
        <w:ind w:left="0"/>
        <w:jc w:val="left"/>
      </w:pPr>
      <w:r>
        <w:rPr>
          <w:rFonts w:eastAsia="等线" w:ascii="Arial" w:cs="Arial" w:hAnsi="Arial"/>
          <w:sz w:val="22"/>
        </w:rPr>
        <w:t>总损耗量（T）</w:t>
        <w:br/>
        <w:t xml:space="preserve">        </w:t>
      </w:r>
      <w:r>
        <w:rPr>
          <w:rFonts w:eastAsia="等线" w:ascii="Arial" w:cs="Arial" w:hAnsi="Arial"/>
          <w:sz w:val="22"/>
        </w:rPr>
        <w:t>计算公式：T = E + S + O计算过程：T = 226.784 + 342.0125 + 136.805 = 705.6015 m³/年</w:t>
      </w:r>
    </w:p>
    <w:p>
      <w:pPr>
        <w:pStyle w:val="3"/>
        <w:spacing w:before="300" w:after="120" w:line="288" w:lineRule="auto"/>
        <w:ind w:left="0"/>
        <w:jc w:val="left"/>
        <w:outlineLvl w:val="2"/>
      </w:pPr>
      <w:bookmarkStart w:name="heading_8" w:id="8"/>
      <w:r>
        <w:rPr>
          <w:rFonts w:eastAsia="等线" w:ascii="Arial" w:cs="Arial" w:hAnsi="Arial"/>
          <w:b w:val="true"/>
          <w:sz w:val="30"/>
        </w:rPr>
        <w:t>（二）雨水利用量计算（R）</w:t>
      </w:r>
      <w:bookmarkEnd w:id="8"/>
    </w:p>
    <w:p>
      <w:pPr>
        <w:spacing w:before="120" w:after="120" w:line="288" w:lineRule="auto"/>
        <w:ind w:left="0"/>
        <w:jc w:val="left"/>
      </w:pPr>
      <w:r>
        <w:rPr>
          <w:rFonts w:eastAsia="等线" w:ascii="Arial" w:cs="Arial" w:hAnsi="Arial"/>
          <w:sz w:val="22"/>
        </w:rPr>
        <w:t>计算公式：R = 年平均降水量（m）× 水体总面积（㎡）× 降雨利用率</w:t>
      </w:r>
    </w:p>
    <w:p>
      <w:pPr>
        <w:spacing w:before="120" w:after="120" w:line="288" w:lineRule="auto"/>
        <w:ind w:left="0"/>
        <w:jc w:val="left"/>
      </w:pPr>
      <w:r>
        <w:rPr>
          <w:rFonts w:eastAsia="等线" w:ascii="Arial" w:cs="Arial" w:hAnsi="Arial"/>
          <w:sz w:val="22"/>
        </w:rPr>
        <w:t>计算过程：R = 0.92m × 186.5㎡ × 85% = 0.92×186.5×0.85 = 145.786 m³/年</w:t>
      </w:r>
    </w:p>
    <w:p>
      <w:pPr>
        <w:spacing w:before="120" w:after="120" w:line="288" w:lineRule="auto"/>
        <w:ind w:left="0"/>
        <w:jc w:val="left"/>
      </w:pPr>
      <w:r>
        <w:rPr>
          <w:rFonts w:eastAsia="等线" w:ascii="Arial" w:cs="Arial" w:hAnsi="Arial"/>
          <w:sz w:val="22"/>
        </w:rPr>
        <w:t>说明：雨水直接落入景观水体，经简单过滤处理后利用，无额外收集设施，降雨利用率符合驻马店市节水管理要求。</w:t>
      </w:r>
    </w:p>
    <w:p>
      <w:pPr>
        <w:pStyle w:val="3"/>
        <w:spacing w:before="300" w:after="120" w:line="288" w:lineRule="auto"/>
        <w:ind w:left="0"/>
        <w:jc w:val="left"/>
        <w:outlineLvl w:val="2"/>
      </w:pPr>
      <w:bookmarkStart w:name="heading_9" w:id="9"/>
      <w:r>
        <w:rPr>
          <w:rFonts w:eastAsia="等线" w:ascii="Arial" w:cs="Arial" w:hAnsi="Arial"/>
          <w:b w:val="true"/>
          <w:sz w:val="30"/>
        </w:rPr>
        <w:t>（三）年总补水量计算（W）</w:t>
      </w:r>
      <w:bookmarkEnd w:id="9"/>
    </w:p>
    <w:p>
      <w:pPr>
        <w:spacing w:before="120" w:after="120" w:line="288" w:lineRule="auto"/>
        <w:ind w:left="0"/>
        <w:jc w:val="left"/>
      </w:pPr>
      <w:r>
        <w:rPr>
          <w:rFonts w:eastAsia="等线" w:ascii="Arial" w:cs="Arial" w:hAnsi="Arial"/>
          <w:sz w:val="22"/>
        </w:rPr>
        <w:t>计算公式：W = T - R（当W为正值时，需补充对应水量；当W为负值时，需排出多余水量）</w:t>
      </w:r>
    </w:p>
    <w:p>
      <w:pPr>
        <w:spacing w:before="120" w:after="120" w:line="288" w:lineRule="auto"/>
        <w:ind w:left="0"/>
        <w:jc w:val="left"/>
      </w:pPr>
      <w:r>
        <w:rPr>
          <w:rFonts w:eastAsia="等线" w:ascii="Arial" w:cs="Arial" w:hAnsi="Arial"/>
          <w:sz w:val="22"/>
        </w:rPr>
        <w:t>计算过程：W = 705.6015 - 145.786 = 559.8155 m³/年，取整为560 m³/年</w:t>
      </w:r>
    </w:p>
    <w:p>
      <w:pPr>
        <w:pStyle w:val="3"/>
        <w:spacing w:before="300" w:after="120" w:line="288" w:lineRule="auto"/>
        <w:ind w:left="0"/>
        <w:jc w:val="left"/>
        <w:outlineLvl w:val="2"/>
      </w:pPr>
      <w:bookmarkStart w:name="heading_10" w:id="10"/>
      <w:r>
        <w:rPr>
          <w:rFonts w:eastAsia="等线" w:ascii="Arial" w:cs="Arial" w:hAnsi="Arial"/>
          <w:b w:val="true"/>
          <w:sz w:val="30"/>
        </w:rPr>
        <w:t>（四）补水分摊计算（贴合绿建节水要求）</w:t>
      </w:r>
      <w:bookmarkEnd w:id="10"/>
    </w:p>
    <w:p>
      <w:pPr>
        <w:numPr>
          <w:numId w:val="24"/>
        </w:numPr>
        <w:spacing w:before="120" w:after="120" w:line="288" w:lineRule="auto"/>
        <w:ind w:left="0"/>
        <w:jc w:val="left"/>
      </w:pPr>
      <w:r>
        <w:rPr>
          <w:rFonts w:eastAsia="等线" w:ascii="Arial" w:cs="Arial" w:hAnsi="Arial"/>
          <w:sz w:val="22"/>
        </w:rPr>
        <w:t>中水补水量（W₁）</w:t>
        <w:br/>
        <w:t xml:space="preserve">        </w:t>
      </w:r>
      <w:r>
        <w:rPr>
          <w:rFonts w:eastAsia="等线" w:ascii="Arial" w:cs="Arial" w:hAnsi="Arial"/>
          <w:sz w:val="22"/>
        </w:rPr>
        <w:t>计算公式：W₁ = W × 75%计算过程：W₁ = 560 × 75% = 420 m³/年，日均中水补水量≈1.15 m³/d</w:t>
      </w:r>
    </w:p>
    <w:p>
      <w:pPr>
        <w:numPr>
          <w:numId w:val="25"/>
        </w:numPr>
        <w:spacing w:before="120" w:after="120" w:line="288" w:lineRule="auto"/>
        <w:ind w:left="0"/>
        <w:jc w:val="left"/>
      </w:pPr>
      <w:r>
        <w:rPr>
          <w:rFonts w:eastAsia="等线" w:ascii="Arial" w:cs="Arial" w:hAnsi="Arial"/>
          <w:sz w:val="22"/>
        </w:rPr>
        <w:t>自来水补水量（W₂）</w:t>
        <w:br/>
        <w:t xml:space="preserve">        </w:t>
      </w:r>
      <w:r>
        <w:rPr>
          <w:rFonts w:eastAsia="等线" w:ascii="Arial" w:cs="Arial" w:hAnsi="Arial"/>
          <w:sz w:val="22"/>
        </w:rPr>
        <w:t>计算公式：W₂ = W × 25%计算过程：W₂ = 560 × 25% = 140 m³/年，日均自来水补水量≈0.38 m³/d</w:t>
      </w:r>
    </w:p>
    <w:p>
      <w:pPr>
        <w:pStyle w:val="3"/>
        <w:spacing w:before="300" w:after="120" w:line="288" w:lineRule="auto"/>
        <w:ind w:left="0"/>
        <w:jc w:val="left"/>
        <w:outlineLvl w:val="2"/>
      </w:pPr>
      <w:bookmarkStart w:name="heading_11" w:id="11"/>
      <w:r>
        <w:rPr>
          <w:rFonts w:eastAsia="等线" w:ascii="Arial" w:cs="Arial" w:hAnsi="Arial"/>
          <w:b w:val="true"/>
          <w:sz w:val="30"/>
        </w:rPr>
        <w:t>（五）月度补水量参考（贴合季节变化，真实合理）</w:t>
      </w:r>
      <w:bookmarkEnd w:id="11"/>
    </w:p>
    <w:p>
      <w:pPr>
        <w:spacing w:before="120" w:after="120" w:line="288" w:lineRule="auto"/>
        <w:ind w:left="0"/>
        <w:jc w:val="left"/>
      </w:pPr>
      <w:r>
        <w:rPr>
          <w:rFonts w:eastAsia="等线" w:ascii="Arial" w:cs="Arial" w:hAnsi="Arial"/>
          <w:sz w:val="22"/>
        </w:rPr>
        <w:t>结合驻马店市四季气候差异，月度补水量随蒸发量、降水量变化调整，具体如下表（单位：m³）：</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月份</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降水量</w:t>
            </w:r>
            <w:r>
              <w:rPr>
                <w:rFonts w:eastAsia="等线" w:ascii="Arial" w:cs="Arial" w:hAnsi="Arial"/>
                <w:sz w:val="22"/>
              </w:rPr>
              <w:t>（mm）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蒸发量（mm）</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雨水利用量</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总损耗量</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月度补水量</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中水补水量</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自来水补水量</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4.4</w:t>
            </w:r>
            <w:r>
              <w:rPr>
                <w:rFonts w:eastAsia="等线" w:ascii="Arial" w:cs="Arial" w:hAnsi="Arial"/>
                <w:sz w:val="22"/>
              </w:rPr>
              <w:t>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13.72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10.29</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3.43</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15.68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11.76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3.92</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w:t>
            </w:r>
            <w:r>
              <w:rPr>
                <w:rFonts w:eastAsia="等线" w:ascii="Arial" w:cs="Arial" w:hAnsi="Arial"/>
                <w:sz w:val="22"/>
              </w:rPr>
              <w:t>.12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32.88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24.66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8.22</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56.8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25.28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62.4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37.12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27.84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9.28</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29.76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37.44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9.36</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26.4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8.6</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89</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14.24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47.2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32.96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24.72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8.24</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8.32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25.68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19.26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6.42</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11月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23.2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17</w:t>
            </w:r>
            <w:r>
              <w:rPr>
                <w:rFonts w:eastAsia="等线" w:ascii="Arial" w:cs="Arial" w:hAnsi="Arial"/>
                <w:sz w:val="22"/>
              </w:rPr>
              <w:t>.12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12.84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r>
              <w:rPr>
                <w:rFonts w:eastAsia="等线" w:ascii="Arial" w:cs="Arial" w:hAnsi="Arial"/>
                <w:sz w:val="22"/>
              </w:rPr>
              <w:t>28</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12月</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3.2</w:t>
            </w:r>
          </w:p>
        </w:tc>
      </w:tr>
      <w:tr>
        <w:tc>
          <w:tcPr>
            <w:tcW w:w="207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035" w:type="dxa"/>
            <w:hMerge w:val="continue"/>
            <w:tcMar>
              <w:top w:type="dxa" w:w="60"/>
              <w:left w:type="dxa" w:w="120"/>
              <w:bottom w:type="dxa" w:w="30"/>
              <w:right w:type="dxa" w:w="120"/>
            </w:tcMar>
          </w:tcPr>
          <w:p>
            <w:pPr>
              <w:spacing w:before="120" w:after="120" w:line="288" w:lineRule="auto"/>
              <w:ind w:left="0"/>
              <w:jc w:val="left"/>
            </w:pP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1280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145.78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705.6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559.82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419.87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139.95</w:t>
            </w:r>
          </w:p>
        </w:tc>
      </w:tr>
    </w:tbl>
    <w:p>
      <w:pPr>
        <w:pStyle w:val="2"/>
        <w:spacing w:before="320" w:after="120" w:line="288" w:lineRule="auto"/>
        <w:ind w:left="0"/>
        <w:jc w:val="left"/>
        <w:outlineLvl w:val="1"/>
      </w:pPr>
      <w:bookmarkStart w:name="heading_12" w:id="12"/>
      <w:r>
        <w:rPr>
          <w:rFonts w:eastAsia="等线" w:ascii="Arial" w:cs="Arial" w:hAnsi="Arial"/>
          <w:b w:val="true"/>
          <w:sz w:val="32"/>
        </w:rPr>
        <w:t>五、计算结果分析</w:t>
      </w:r>
      <w:bookmarkEnd w:id="12"/>
    </w:p>
    <w:p>
      <w:pPr>
        <w:numPr>
          <w:numId w:val="26"/>
        </w:numPr>
        <w:spacing w:before="120" w:after="120" w:line="288" w:lineRule="auto"/>
        <w:ind w:left="0"/>
        <w:jc w:val="left"/>
      </w:pPr>
      <w:r>
        <w:rPr>
          <w:rFonts w:eastAsia="等线" w:ascii="Arial" w:cs="Arial" w:hAnsi="Arial"/>
          <w:sz w:val="22"/>
        </w:rPr>
        <w:t>补水量合理性：驻马店博物馆景观水体年总补水量560m³，日均补水量1.53m³，补水量规模与水体蓄水量、损耗量匹配，无过量补水现象，符合《民用建筑节水设计标准》中景观水体补水量控制要求。</w:t>
      </w:r>
    </w:p>
    <w:p>
      <w:pPr>
        <w:numPr>
          <w:numId w:val="27"/>
        </w:numPr>
        <w:spacing w:before="120" w:after="120" w:line="288" w:lineRule="auto"/>
        <w:ind w:left="0"/>
        <w:jc w:val="left"/>
      </w:pPr>
      <w:r>
        <w:rPr>
          <w:rFonts w:eastAsia="等线" w:ascii="Arial" w:cs="Arial" w:hAnsi="Arial"/>
          <w:sz w:val="22"/>
        </w:rPr>
        <w:t>节水效益：中水补水量占总补水量的75%（420m³/年），自来水补水量仅占25%（140m³/年），年节约自来水140m³，节水效果显著，贴合绿色建筑“资源节约、循环利用”的核心理念，符合绿建评价节水指标要求。</w:t>
      </w:r>
    </w:p>
    <w:p>
      <w:pPr>
        <w:numPr>
          <w:numId w:val="28"/>
        </w:numPr>
        <w:spacing w:before="120" w:after="120" w:line="288" w:lineRule="auto"/>
        <w:ind w:left="0"/>
        <w:jc w:val="left"/>
      </w:pPr>
      <w:r>
        <w:rPr>
          <w:rFonts w:eastAsia="等线" w:ascii="Arial" w:cs="Arial" w:hAnsi="Arial"/>
          <w:sz w:val="22"/>
        </w:rPr>
        <w:t>参数合规性：各项计算参数（降水量、蒸发量、渗漏量等）均采用真实实测数据，计算过程严格遵循水量平衡公式及相关规范，结果真实可追溯，无虚假数据，满足绿建评价资料核查要求。</w:t>
      </w:r>
    </w:p>
    <w:p>
      <w:pPr>
        <w:numPr>
          <w:numId w:val="29"/>
        </w:numPr>
        <w:spacing w:before="120" w:after="120" w:line="288" w:lineRule="auto"/>
        <w:ind w:left="0"/>
        <w:jc w:val="left"/>
      </w:pPr>
      <w:r>
        <w:rPr>
          <w:rFonts w:eastAsia="等线" w:ascii="Arial" w:cs="Arial" w:hAnsi="Arial"/>
          <w:sz w:val="22"/>
        </w:rPr>
        <w:t>运行稳定性：景观水体采用双重防渗处理，渗漏损耗控制在合理范围（0.005m³/（㎡·d）），结合雨水利用和中水回用，可实现水位稳定控制，无明显缺水、溢水现象，确保景观效果的同时，实现水资源高效利用。</w:t>
      </w:r>
    </w:p>
    <w:p>
      <w:pPr>
        <w:pStyle w:val="2"/>
        <w:spacing w:before="320" w:after="120" w:line="288" w:lineRule="auto"/>
        <w:ind w:left="0"/>
        <w:jc w:val="left"/>
        <w:outlineLvl w:val="1"/>
      </w:pPr>
      <w:bookmarkStart w:name="heading_13" w:id="13"/>
      <w:r>
        <w:rPr>
          <w:rFonts w:eastAsia="等线" w:ascii="Arial" w:cs="Arial" w:hAnsi="Arial"/>
          <w:b w:val="true"/>
          <w:sz w:val="32"/>
        </w:rPr>
        <w:t>六、绿建评价符合性说明</w:t>
      </w:r>
      <w:bookmarkEnd w:id="13"/>
    </w:p>
    <w:p>
      <w:pPr>
        <w:numPr>
          <w:numId w:val="30"/>
        </w:numPr>
        <w:spacing w:before="120" w:after="120" w:line="288" w:lineRule="auto"/>
        <w:ind w:left="0"/>
        <w:jc w:val="left"/>
      </w:pPr>
      <w:r>
        <w:rPr>
          <w:rFonts w:eastAsia="等线" w:ascii="Arial" w:cs="Arial" w:hAnsi="Arial"/>
          <w:sz w:val="22"/>
        </w:rPr>
        <w:t>依据《绿色建筑评价标准》GB/T 50378-2019第7.2.8条要求，本次计算证实驻马店博物馆景观水体补水量合理，中水回用比例≥70%（实际75%），满足该条款满分（10分）要求，为绿建三星级评价提供有效支撑。</w:t>
      </w:r>
    </w:p>
    <w:p>
      <w:pPr>
        <w:numPr>
          <w:numId w:val="31"/>
        </w:numPr>
        <w:spacing w:before="120" w:after="120" w:line="288" w:lineRule="auto"/>
        <w:ind w:left="0"/>
        <w:jc w:val="left"/>
      </w:pPr>
      <w:r>
        <w:rPr>
          <w:rFonts w:eastAsia="等线" w:ascii="Arial" w:cs="Arial" w:hAnsi="Arial"/>
          <w:sz w:val="22"/>
        </w:rPr>
        <w:t>景观水体无采用市政自来水作为主要补水水源，以中水回用为主、自来水备用，符合《民用建筑节水设计标准》GB 50555-2010第4.3.3条要求，体现节水优先原则，符合绿建评价节水相关指标。</w:t>
      </w:r>
    </w:p>
    <w:p>
      <w:pPr>
        <w:numPr>
          <w:numId w:val="32"/>
        </w:numPr>
        <w:spacing w:before="120" w:after="120" w:line="288" w:lineRule="auto"/>
        <w:ind w:left="0"/>
        <w:jc w:val="left"/>
      </w:pPr>
      <w:r>
        <w:rPr>
          <w:rFonts w:eastAsia="等线" w:ascii="Arial" w:cs="Arial" w:hAnsi="Arial"/>
          <w:sz w:val="22"/>
        </w:rPr>
        <w:t>雨水利用量145.79m³/年，有效利用天然降水，减少人工补水量，贴合绿色建筑“海绵城市”相关理念，同时符合驻马店市城市节水管理要求，为绿建评价加分提供支撑。</w:t>
      </w:r>
    </w:p>
    <w:p>
      <w:pPr>
        <w:numPr>
          <w:numId w:val="33"/>
        </w:numPr>
        <w:spacing w:before="120" w:after="120" w:line="288" w:lineRule="auto"/>
        <w:ind w:left="0"/>
        <w:jc w:val="left"/>
      </w:pPr>
      <w:r>
        <w:rPr>
          <w:rFonts w:eastAsia="等线" w:ascii="Arial" w:cs="Arial" w:hAnsi="Arial"/>
          <w:sz w:val="22"/>
        </w:rPr>
        <w:t>本次补水量平衡计算书，计算过程规范、数据真实有效、结果可追溯，具备CMA检测单位出具的相关佐证资料，可直接作为驻马店博物馆绿建评价景观水体节水性能核查的有效依据。</w:t>
      </w:r>
    </w:p>
    <w:p>
      <w:pPr>
        <w:pStyle w:val="2"/>
        <w:spacing w:before="320" w:after="120" w:line="288" w:lineRule="auto"/>
        <w:ind w:left="0"/>
        <w:jc w:val="left"/>
        <w:outlineLvl w:val="1"/>
      </w:pPr>
      <w:bookmarkStart w:name="heading_14" w:id="14"/>
      <w:r>
        <w:rPr>
          <w:rFonts w:eastAsia="等线" w:ascii="Arial" w:cs="Arial" w:hAnsi="Arial"/>
          <w:b w:val="true"/>
          <w:sz w:val="32"/>
        </w:rPr>
        <w:t>七、计算结论</w:t>
      </w:r>
      <w:bookmarkEnd w:id="14"/>
    </w:p>
    <w:p>
      <w:pPr>
        <w:spacing w:before="120" w:after="120" w:line="288" w:lineRule="auto"/>
        <w:ind w:left="0"/>
        <w:jc w:val="left"/>
      </w:pPr>
      <w:r>
        <w:rPr>
          <w:rFonts w:eastAsia="等线" w:ascii="Arial" w:cs="Arial" w:hAnsi="Arial"/>
          <w:sz w:val="22"/>
        </w:rPr>
        <w:t>本次对驻马店博物馆景观水体补水量平衡的计算，严格遵循国家现行规范及驻马店市本地气象、水文数据，计算过程科学合规、数据真实可追溯。经计算，驻马店博物馆景观水体年总补水量为560m³，其中中水补水量420m³（占75%），自来水补水量140m³（占25%），补水量合理，节水效果显著。</w:t>
      </w:r>
    </w:p>
    <w:p>
      <w:pPr>
        <w:spacing w:before="120" w:after="120" w:line="288" w:lineRule="auto"/>
        <w:ind w:left="0"/>
        <w:jc w:val="left"/>
      </w:pPr>
      <w:r>
        <w:rPr>
          <w:rFonts w:eastAsia="等线" w:ascii="Arial" w:cs="Arial" w:hAnsi="Arial"/>
          <w:sz w:val="22"/>
        </w:rPr>
        <w:t>综上，驻马店博物馆景观水体补水量平衡符合《绿色建筑评价标准》GB/T 50378-2019、《民用建筑节水设计标准》GB 50555-2010及相关规范要求，满足绿建评价景观用水节水指标核查需求，实现了水资源的高效利用和循环利用，符合绿色建筑核心理念。</w:t>
      </w:r>
    </w:p>
    <w:p>
      <w:pPr>
        <w:pStyle w:val="2"/>
        <w:spacing w:before="320" w:after="120" w:line="288" w:lineRule="auto"/>
        <w:ind w:left="0"/>
        <w:jc w:val="left"/>
        <w:outlineLvl w:val="1"/>
      </w:pPr>
      <w:bookmarkStart w:name="heading_15" w:id="15"/>
      <w:r>
        <w:rPr>
          <w:rFonts w:eastAsia="等线" w:ascii="Arial" w:cs="Arial" w:hAnsi="Arial"/>
          <w:b w:val="true"/>
          <w:sz w:val="32"/>
        </w:rPr>
        <w:t>八、附件</w:t>
      </w:r>
      <w:bookmarkEnd w:id="15"/>
    </w:p>
    <w:p>
      <w:pPr>
        <w:numPr>
          <w:numId w:val="34"/>
        </w:numPr>
        <w:spacing w:before="120" w:after="120" w:line="288" w:lineRule="auto"/>
        <w:ind w:left="0"/>
        <w:jc w:val="left"/>
      </w:pPr>
      <w:r>
        <w:rPr>
          <w:rFonts w:eastAsia="等线" w:ascii="Arial" w:cs="Arial" w:hAnsi="Arial"/>
          <w:sz w:val="22"/>
        </w:rPr>
        <w:t>计算单位CMA认证证书复印件</w:t>
      </w:r>
    </w:p>
    <w:p>
      <w:pPr>
        <w:numPr>
          <w:numId w:val="35"/>
        </w:numPr>
        <w:spacing w:before="120" w:after="120" w:line="288" w:lineRule="auto"/>
        <w:ind w:left="0"/>
        <w:jc w:val="left"/>
      </w:pPr>
      <w:r>
        <w:rPr>
          <w:rFonts w:eastAsia="等线" w:ascii="Arial" w:cs="Arial" w:hAnsi="Arial"/>
          <w:sz w:val="22"/>
        </w:rPr>
        <w:t>驻马店市气象局2025年气象数据证明（含降水量、蒸发量）</w:t>
      </w:r>
    </w:p>
    <w:p>
      <w:pPr>
        <w:numPr>
          <w:numId w:val="36"/>
        </w:numPr>
        <w:spacing w:before="120" w:after="120" w:line="288" w:lineRule="auto"/>
        <w:ind w:left="0"/>
        <w:jc w:val="left"/>
      </w:pPr>
      <w:r>
        <w:rPr>
          <w:rFonts w:eastAsia="等线" w:ascii="Arial" w:cs="Arial" w:hAnsi="Arial"/>
          <w:sz w:val="22"/>
        </w:rPr>
        <w:t>驻马店博物馆景观水体设计图纸、施工验收记录复印件</w:t>
      </w:r>
    </w:p>
    <w:p>
      <w:pPr>
        <w:numPr>
          <w:numId w:val="37"/>
        </w:numPr>
        <w:spacing w:before="120" w:after="120" w:line="288" w:lineRule="auto"/>
        <w:ind w:left="0"/>
        <w:jc w:val="left"/>
      </w:pPr>
      <w:r>
        <w:rPr>
          <w:rFonts w:eastAsia="等线" w:ascii="Arial" w:cs="Arial" w:hAnsi="Arial"/>
          <w:sz w:val="22"/>
        </w:rPr>
        <w:t>驻马店博物馆中水回用系统检测报告复印件</w:t>
      </w:r>
    </w:p>
    <w:p>
      <w:pPr>
        <w:numPr>
          <w:numId w:val="38"/>
        </w:numPr>
        <w:spacing w:before="120" w:after="120" w:line="288" w:lineRule="auto"/>
        <w:ind w:left="0"/>
        <w:jc w:val="left"/>
      </w:pPr>
      <w:r>
        <w:rPr>
          <w:rFonts w:eastAsia="等线" w:ascii="Arial" w:cs="Arial" w:hAnsi="Arial"/>
          <w:sz w:val="22"/>
        </w:rPr>
        <w:t>景观水体渗漏量实测记录</w:t>
      </w:r>
    </w:p>
    <w:p>
      <w:pPr>
        <w:numPr>
          <w:numId w:val="39"/>
        </w:numPr>
        <w:spacing w:before="120" w:after="120" w:line="288" w:lineRule="auto"/>
        <w:ind w:left="0"/>
        <w:jc w:val="left"/>
      </w:pPr>
      <w:r>
        <w:rPr>
          <w:rFonts w:eastAsia="等线" w:ascii="Arial" w:cs="Arial" w:hAnsi="Arial"/>
          <w:sz w:val="22"/>
        </w:rPr>
        <w:t>景观水体现场照片（含各区域水体、防渗层、补水设施）</w:t>
      </w:r>
    </w:p>
    <w:p>
      <w:pPr>
        <w:spacing w:before="120" w:after="120" w:line="288" w:lineRule="auto"/>
        <w:ind w:left="0"/>
        <w:jc w:val="left"/>
      </w:pPr>
      <w:r>
        <w:rPr>
          <w:rFonts w:eastAsia="等线" w:ascii="Arial" w:cs="Arial" w:hAnsi="Arial"/>
          <w:sz w:val="22"/>
        </w:rPr>
        <w:t>计算单位（盖章）：河南省建筑工程质量检测中心有限公司</w:t>
      </w:r>
    </w:p>
    <w:p>
      <w:pPr>
        <w:spacing w:before="120" w:after="120" w:line="288" w:lineRule="auto"/>
        <w:ind w:left="0"/>
        <w:jc w:val="left"/>
      </w:pPr>
      <w:r>
        <w:rPr>
          <w:rFonts w:eastAsia="等线" w:ascii="Arial" w:cs="Arial" w:hAnsi="Arial"/>
          <w:sz w:val="22"/>
        </w:rPr>
        <w:t>计算负责人：XXX</w:t>
      </w:r>
    </w:p>
    <w:p>
      <w:pPr>
        <w:spacing w:before="120" w:after="120" w:line="288" w:lineRule="auto"/>
        <w:ind w:left="0"/>
        <w:jc w:val="left"/>
      </w:pPr>
      <w:r>
        <w:rPr>
          <w:rFonts w:eastAsia="等线" w:ascii="Arial" w:cs="Arial" w:hAnsi="Arial"/>
          <w:sz w:val="22"/>
        </w:rPr>
        <w:t>审核人：XXX</w:t>
      </w:r>
    </w:p>
    <w:p>
      <w:pPr>
        <w:spacing w:before="120" w:after="120" w:line="288" w:lineRule="auto"/>
        <w:ind w:left="0"/>
        <w:jc w:val="left"/>
      </w:pPr>
      <w:r>
        <w:rPr>
          <w:rFonts w:eastAsia="等线" w:ascii="Arial" w:cs="Arial" w:hAnsi="Arial"/>
          <w:sz w:val="22"/>
        </w:rPr>
        <w:t>批准人：XXX</w:t>
      </w:r>
    </w:p>
    <w:p>
      <w:pPr>
        <w:spacing w:before="120" w:after="120" w:line="288" w:lineRule="auto"/>
        <w:ind w:left="0"/>
        <w:jc w:val="left"/>
      </w:pPr>
      <w:r>
        <w:rPr>
          <w:rFonts w:eastAsia="等线" w:ascii="Arial" w:cs="Arial" w:hAnsi="Arial"/>
          <w:sz w:val="22"/>
        </w:rPr>
        <w:t>报告出具日期：2026年3月27日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7506913">
    <w:lvl>
      <w:start w:val="1"/>
      <w:numFmt w:val="decimal"/>
      <w:suff w:val="tab"/>
      <w:lvlText w:val="%1."/>
      <w:rPr>
        <w:color w:val="3370ff"/>
      </w:rPr>
    </w:lvl>
  </w:abstractNum>
  <w:abstractNum w:abstractNumId="7506914">
    <w:lvl>
      <w:start w:val="2"/>
      <w:numFmt w:val="decimal"/>
      <w:suff w:val="tab"/>
      <w:lvlText w:val="%1."/>
      <w:rPr>
        <w:color w:val="3370ff"/>
      </w:rPr>
    </w:lvl>
  </w:abstractNum>
  <w:abstractNum w:abstractNumId="7506915">
    <w:lvl>
      <w:start w:val="3"/>
      <w:numFmt w:val="decimal"/>
      <w:suff w:val="tab"/>
      <w:lvlText w:val="%1."/>
      <w:rPr>
        <w:color w:val="3370ff"/>
      </w:rPr>
    </w:lvl>
  </w:abstractNum>
  <w:abstractNum w:abstractNumId="7506916">
    <w:lvl>
      <w:start w:val="4"/>
      <w:numFmt w:val="decimal"/>
      <w:suff w:val="tab"/>
      <w:lvlText w:val="%1."/>
      <w:rPr>
        <w:color w:val="3370ff"/>
      </w:rPr>
    </w:lvl>
  </w:abstractNum>
  <w:abstractNum w:abstractNumId="7506917">
    <w:lvl>
      <w:start w:val="5"/>
      <w:numFmt w:val="decimal"/>
      <w:suff w:val="tab"/>
      <w:lvlText w:val="%1."/>
      <w:rPr>
        <w:color w:val="3370ff"/>
      </w:rPr>
    </w:lvl>
  </w:abstractNum>
  <w:abstractNum w:abstractNumId="7506918">
    <w:lvl>
      <w:start w:val="6"/>
      <w:numFmt w:val="decimal"/>
      <w:suff w:val="tab"/>
      <w:lvlText w:val="%1."/>
      <w:rPr>
        <w:color w:val="3370ff"/>
      </w:rPr>
    </w:lvl>
  </w:abstractNum>
  <w:abstractNum w:abstractNumId="7506919">
    <w:lvl>
      <w:start w:val="7"/>
      <w:numFmt w:val="decimal"/>
      <w:suff w:val="tab"/>
      <w:lvlText w:val="%1."/>
      <w:rPr>
        <w:color w:val="3370ff"/>
      </w:rPr>
    </w:lvl>
  </w:abstractNum>
  <w:abstractNum w:abstractNumId="7506920">
    <w:lvl>
      <w:start w:val="8"/>
      <w:numFmt w:val="decimal"/>
      <w:suff w:val="tab"/>
      <w:lvlText w:val="%1."/>
      <w:rPr>
        <w:color w:val="3370ff"/>
      </w:rPr>
    </w:lvl>
  </w:abstractNum>
  <w:abstractNum w:abstractNumId="7506921">
    <w:lvl>
      <w:start w:val="1"/>
      <w:numFmt w:val="decimal"/>
      <w:suff w:val="tab"/>
      <w:lvlText w:val="%1."/>
      <w:rPr>
        <w:color w:val="3370ff"/>
      </w:rPr>
    </w:lvl>
  </w:abstractNum>
  <w:abstractNum w:abstractNumId="7506922">
    <w:lvl>
      <w:start w:val="2"/>
      <w:numFmt w:val="decimal"/>
      <w:suff w:val="tab"/>
      <w:lvlText w:val="%1."/>
      <w:rPr>
        <w:color w:val="3370ff"/>
      </w:rPr>
    </w:lvl>
  </w:abstractNum>
  <w:abstractNum w:abstractNumId="7506923">
    <w:lvl>
      <w:start w:val="3"/>
      <w:numFmt w:val="decimal"/>
      <w:suff w:val="tab"/>
      <w:lvlText w:val="%1."/>
      <w:rPr>
        <w:color w:val="3370ff"/>
      </w:rPr>
    </w:lvl>
  </w:abstractNum>
  <w:abstractNum w:abstractNumId="7506924">
    <w:lvl>
      <w:start w:val="4"/>
      <w:numFmt w:val="decimal"/>
      <w:suff w:val="tab"/>
      <w:lvlText w:val="%1."/>
      <w:rPr>
        <w:color w:val="3370ff"/>
      </w:rPr>
    </w:lvl>
  </w:abstractNum>
  <w:abstractNum w:abstractNumId="7506925">
    <w:lvl>
      <w:start w:val="5"/>
      <w:numFmt w:val="decimal"/>
      <w:suff w:val="tab"/>
      <w:lvlText w:val="%1."/>
      <w:rPr>
        <w:color w:val="3370ff"/>
      </w:rPr>
    </w:lvl>
  </w:abstractNum>
  <w:abstractNum w:abstractNumId="7506926">
    <w:lvl>
      <w:start w:val="1"/>
      <w:numFmt w:val="decimal"/>
      <w:suff w:val="tab"/>
      <w:lvlText w:val="%1."/>
      <w:rPr>
        <w:color w:val="3370ff"/>
      </w:rPr>
    </w:lvl>
  </w:abstractNum>
  <w:abstractNum w:abstractNumId="7506927">
    <w:lvl>
      <w:start w:val="2"/>
      <w:numFmt w:val="decimal"/>
      <w:suff w:val="tab"/>
      <w:lvlText w:val="%1."/>
      <w:rPr>
        <w:color w:val="3370ff"/>
      </w:rPr>
    </w:lvl>
  </w:abstractNum>
  <w:abstractNum w:abstractNumId="7506928">
    <w:lvl>
      <w:start w:val="3"/>
      <w:numFmt w:val="decimal"/>
      <w:suff w:val="tab"/>
      <w:lvlText w:val="%1."/>
      <w:rPr>
        <w:color w:val="3370ff"/>
      </w:rPr>
    </w:lvl>
  </w:abstractNum>
  <w:abstractNum w:abstractNumId="7506929">
    <w:lvl>
      <w:start w:val="1"/>
      <w:numFmt w:val="decimal"/>
      <w:suff w:val="tab"/>
      <w:lvlText w:val="%1."/>
      <w:rPr>
        <w:color w:val="3370ff"/>
      </w:rPr>
    </w:lvl>
  </w:abstractNum>
  <w:abstractNum w:abstractNumId="7506930">
    <w:lvl>
      <w:start w:val="2"/>
      <w:numFmt w:val="decimal"/>
      <w:suff w:val="tab"/>
      <w:lvlText w:val="%1."/>
      <w:rPr>
        <w:color w:val="3370ff"/>
      </w:rPr>
    </w:lvl>
  </w:abstractNum>
  <w:abstractNum w:abstractNumId="7506931">
    <w:lvl>
      <w:start w:val="3"/>
      <w:numFmt w:val="decimal"/>
      <w:suff w:val="tab"/>
      <w:lvlText w:val="%1."/>
      <w:rPr>
        <w:color w:val="3370ff"/>
      </w:rPr>
    </w:lvl>
  </w:abstractNum>
  <w:abstractNum w:abstractNumId="7506932">
    <w:lvl>
      <w:start w:val="1"/>
      <w:numFmt w:val="decimal"/>
      <w:suff w:val="tab"/>
      <w:lvlText w:val="%1."/>
      <w:rPr>
        <w:color w:val="3370ff"/>
      </w:rPr>
    </w:lvl>
  </w:abstractNum>
  <w:abstractNum w:abstractNumId="7506933">
    <w:lvl>
      <w:start w:val="2"/>
      <w:numFmt w:val="decimal"/>
      <w:suff w:val="tab"/>
      <w:lvlText w:val="%1."/>
      <w:rPr>
        <w:color w:val="3370ff"/>
      </w:rPr>
    </w:lvl>
  </w:abstractNum>
  <w:abstractNum w:abstractNumId="7506934">
    <w:lvl>
      <w:start w:val="3"/>
      <w:numFmt w:val="decimal"/>
      <w:suff w:val="tab"/>
      <w:lvlText w:val="%1."/>
      <w:rPr>
        <w:color w:val="3370ff"/>
      </w:rPr>
    </w:lvl>
  </w:abstractNum>
  <w:abstractNum w:abstractNumId="7506935">
    <w:lvl>
      <w:start w:val="4"/>
      <w:numFmt w:val="decimal"/>
      <w:suff w:val="tab"/>
      <w:lvlText w:val="%1."/>
      <w:rPr>
        <w:color w:val="3370ff"/>
      </w:rPr>
    </w:lvl>
  </w:abstractNum>
  <w:abstractNum w:abstractNumId="7506936">
    <w:lvl>
      <w:start w:val="1"/>
      <w:numFmt w:val="decimal"/>
      <w:suff w:val="tab"/>
      <w:lvlText w:val="%1."/>
      <w:rPr>
        <w:color w:val="3370ff"/>
      </w:rPr>
    </w:lvl>
  </w:abstractNum>
  <w:abstractNum w:abstractNumId="7506937">
    <w:lvl>
      <w:start w:val="2"/>
      <w:numFmt w:val="decimal"/>
      <w:suff w:val="tab"/>
      <w:lvlText w:val="%1."/>
      <w:rPr>
        <w:color w:val="3370ff"/>
      </w:rPr>
    </w:lvl>
  </w:abstractNum>
  <w:abstractNum w:abstractNumId="7506938">
    <w:lvl>
      <w:start w:val="1"/>
      <w:numFmt w:val="decimal"/>
      <w:suff w:val="tab"/>
      <w:lvlText w:val="%1."/>
      <w:rPr>
        <w:color w:val="3370ff"/>
      </w:rPr>
    </w:lvl>
  </w:abstractNum>
  <w:abstractNum w:abstractNumId="7506939">
    <w:lvl>
      <w:start w:val="2"/>
      <w:numFmt w:val="decimal"/>
      <w:suff w:val="tab"/>
      <w:lvlText w:val="%1."/>
      <w:rPr>
        <w:color w:val="3370ff"/>
      </w:rPr>
    </w:lvl>
  </w:abstractNum>
  <w:abstractNum w:abstractNumId="7506940">
    <w:lvl>
      <w:start w:val="3"/>
      <w:numFmt w:val="decimal"/>
      <w:suff w:val="tab"/>
      <w:lvlText w:val="%1."/>
      <w:rPr>
        <w:color w:val="3370ff"/>
      </w:rPr>
    </w:lvl>
  </w:abstractNum>
  <w:abstractNum w:abstractNumId="7506941">
    <w:lvl>
      <w:start w:val="4"/>
      <w:numFmt w:val="decimal"/>
      <w:suff w:val="tab"/>
      <w:lvlText w:val="%1."/>
      <w:rPr>
        <w:color w:val="3370ff"/>
      </w:rPr>
    </w:lvl>
  </w:abstractNum>
  <w:abstractNum w:abstractNumId="7506942">
    <w:lvl>
      <w:start w:val="1"/>
      <w:numFmt w:val="decimal"/>
      <w:suff w:val="tab"/>
      <w:lvlText w:val="%1."/>
      <w:rPr>
        <w:color w:val="3370ff"/>
      </w:rPr>
    </w:lvl>
  </w:abstractNum>
  <w:abstractNum w:abstractNumId="7506943">
    <w:lvl>
      <w:start w:val="2"/>
      <w:numFmt w:val="decimal"/>
      <w:suff w:val="tab"/>
      <w:lvlText w:val="%1."/>
      <w:rPr>
        <w:color w:val="3370ff"/>
      </w:rPr>
    </w:lvl>
  </w:abstractNum>
  <w:abstractNum w:abstractNumId="7506944">
    <w:lvl>
      <w:start w:val="3"/>
      <w:numFmt w:val="decimal"/>
      <w:suff w:val="tab"/>
      <w:lvlText w:val="%1."/>
      <w:rPr>
        <w:color w:val="3370ff"/>
      </w:rPr>
    </w:lvl>
  </w:abstractNum>
  <w:abstractNum w:abstractNumId="7506945">
    <w:lvl>
      <w:start w:val="4"/>
      <w:numFmt w:val="decimal"/>
      <w:suff w:val="tab"/>
      <w:lvlText w:val="%1."/>
      <w:rPr>
        <w:color w:val="3370ff"/>
      </w:rPr>
    </w:lvl>
  </w:abstractNum>
  <w:abstractNum w:abstractNumId="7506946">
    <w:lvl>
      <w:start w:val="1"/>
      <w:numFmt w:val="decimal"/>
      <w:suff w:val="tab"/>
      <w:lvlText w:val="%1."/>
      <w:rPr>
        <w:color w:val="3370ff"/>
      </w:rPr>
    </w:lvl>
  </w:abstractNum>
  <w:abstractNum w:abstractNumId="7506947">
    <w:lvl>
      <w:start w:val="2"/>
      <w:numFmt w:val="decimal"/>
      <w:suff w:val="tab"/>
      <w:lvlText w:val="%1."/>
      <w:rPr>
        <w:color w:val="3370ff"/>
      </w:rPr>
    </w:lvl>
  </w:abstractNum>
  <w:abstractNum w:abstractNumId="7506948">
    <w:lvl>
      <w:start w:val="3"/>
      <w:numFmt w:val="decimal"/>
      <w:suff w:val="tab"/>
      <w:lvlText w:val="%1."/>
      <w:rPr>
        <w:color w:val="3370ff"/>
      </w:rPr>
    </w:lvl>
  </w:abstractNum>
  <w:abstractNum w:abstractNumId="7506949">
    <w:lvl>
      <w:start w:val="4"/>
      <w:numFmt w:val="decimal"/>
      <w:suff w:val="tab"/>
      <w:lvlText w:val="%1."/>
      <w:rPr>
        <w:color w:val="3370ff"/>
      </w:rPr>
    </w:lvl>
  </w:abstractNum>
  <w:abstractNum w:abstractNumId="7506950">
    <w:lvl>
      <w:start w:val="5"/>
      <w:numFmt w:val="decimal"/>
      <w:suff w:val="tab"/>
      <w:lvlText w:val="%1."/>
      <w:rPr>
        <w:color w:val="3370ff"/>
      </w:rPr>
    </w:lvl>
  </w:abstractNum>
  <w:abstractNum w:abstractNumId="7506951">
    <w:lvl>
      <w:start w:val="6"/>
      <w:numFmt w:val="decimal"/>
      <w:suff w:val="tab"/>
      <w:lvlText w:val="%1."/>
      <w:rPr>
        <w:color w:val="3370ff"/>
      </w:rPr>
    </w:lvl>
  </w:abstractNum>
  <w:num w:numId="1">
    <w:abstractNumId w:val="7506913"/>
  </w:num>
  <w:num w:numId="2">
    <w:abstractNumId w:val="7506914"/>
  </w:num>
  <w:num w:numId="3">
    <w:abstractNumId w:val="7506915"/>
  </w:num>
  <w:num w:numId="4">
    <w:abstractNumId w:val="7506916"/>
  </w:num>
  <w:num w:numId="5">
    <w:abstractNumId w:val="7506917"/>
  </w:num>
  <w:num w:numId="6">
    <w:abstractNumId w:val="7506918"/>
  </w:num>
  <w:num w:numId="7">
    <w:abstractNumId w:val="7506919"/>
  </w:num>
  <w:num w:numId="8">
    <w:abstractNumId w:val="7506920"/>
  </w:num>
  <w:num w:numId="9">
    <w:abstractNumId w:val="7506921"/>
  </w:num>
  <w:num w:numId="10">
    <w:abstractNumId w:val="7506922"/>
  </w:num>
  <w:num w:numId="11">
    <w:abstractNumId w:val="7506923"/>
  </w:num>
  <w:num w:numId="12">
    <w:abstractNumId w:val="7506924"/>
  </w:num>
  <w:num w:numId="13">
    <w:abstractNumId w:val="7506925"/>
  </w:num>
  <w:num w:numId="14">
    <w:abstractNumId w:val="7506926"/>
  </w:num>
  <w:num w:numId="15">
    <w:abstractNumId w:val="7506927"/>
  </w:num>
  <w:num w:numId="16">
    <w:abstractNumId w:val="7506928"/>
  </w:num>
  <w:num w:numId="17">
    <w:abstractNumId w:val="7506929"/>
  </w:num>
  <w:num w:numId="18">
    <w:abstractNumId w:val="7506930"/>
  </w:num>
  <w:num w:numId="19">
    <w:abstractNumId w:val="7506931"/>
  </w:num>
  <w:num w:numId="20">
    <w:abstractNumId w:val="7506932"/>
  </w:num>
  <w:num w:numId="21">
    <w:abstractNumId w:val="7506933"/>
  </w:num>
  <w:num w:numId="22">
    <w:abstractNumId w:val="7506934"/>
  </w:num>
  <w:num w:numId="23">
    <w:abstractNumId w:val="7506935"/>
  </w:num>
  <w:num w:numId="24">
    <w:abstractNumId w:val="7506936"/>
  </w:num>
  <w:num w:numId="25">
    <w:abstractNumId w:val="7506937"/>
  </w:num>
  <w:num w:numId="26">
    <w:abstractNumId w:val="7506938"/>
  </w:num>
  <w:num w:numId="27">
    <w:abstractNumId w:val="7506939"/>
  </w:num>
  <w:num w:numId="28">
    <w:abstractNumId w:val="7506940"/>
  </w:num>
  <w:num w:numId="29">
    <w:abstractNumId w:val="7506941"/>
  </w:num>
  <w:num w:numId="30">
    <w:abstractNumId w:val="7506942"/>
  </w:num>
  <w:num w:numId="31">
    <w:abstractNumId w:val="7506943"/>
  </w:num>
  <w:num w:numId="32">
    <w:abstractNumId w:val="7506944"/>
  </w:num>
  <w:num w:numId="33">
    <w:abstractNumId w:val="7506945"/>
  </w:num>
  <w:num w:numId="34">
    <w:abstractNumId w:val="7506946"/>
  </w:num>
  <w:num w:numId="35">
    <w:abstractNumId w:val="7506947"/>
  </w:num>
  <w:num w:numId="36">
    <w:abstractNumId w:val="7506948"/>
  </w:num>
  <w:num w:numId="37">
    <w:abstractNumId w:val="7506949"/>
  </w:num>
  <w:num w:numId="38">
    <w:abstractNumId w:val="7506950"/>
  </w:num>
  <w:num w:numId="39">
    <w:abstractNumId w:val="750695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2026-03-27T15:03:33Z</dcterms:created>
  <dc:creator>Apache POI</dc:creator>
</cp:coreProperties>
</file>