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绿色建筑设计 暖通系统能耗监测记录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一、项目基本信息</w:t>
      </w:r>
      <w:bookmarkEnd w:id="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项目名称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辰光溯昔—基于豫南地区生态的博物馆绿色建筑设计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建设地点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河南省驻马店市驿城区练江大道与白桥路交叉口西南角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用地面积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36612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建筑面积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18209.2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建筑类型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公共建筑（博物馆）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气候分区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寒冷地区（豫南片区）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监测周期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2025年度（供暖季+空调季全周期）</w:t>
            </w:r>
          </w:p>
        </w:tc>
      </w:tr>
    </w:tbl>
    <w:p/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本监测记录严格遵循绿色建筑评价系统要求，聚焦</w:t>
            </w:r>
            <w:r>
              <w:rPr>
                <w:rFonts w:ascii="Arial" w:hAnsi="Arial" w:eastAsia="等线" w:cs="Arial"/>
                <w:b/>
                <w:sz w:val="22"/>
              </w:rPr>
              <w:t>部分负荷、部分空间使用下</w:t>
            </w:r>
            <w:r>
              <w:rPr>
                <w:rFonts w:ascii="Arial" w:hAnsi="Arial" w:eastAsia="等线" w:cs="Arial"/>
                <w:sz w:val="22"/>
              </w:rPr>
              <w:t>供暖、空调系统能耗管控，同步落实分区控制、冷源能效两大核心合规条款。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二、暖通系统节能设计合规说明</w:t>
      </w:r>
      <w:bookmarkEnd w:id="1"/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2.1 供暖、空调区域分区控制设计（合规条款1）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针对博物馆展厅、办公区、库房、公共门厅等不同功能空间，结合建筑朝向（东、南、西、北）、使用时段、负荷特性，精细化划分供暖、空调控制区域，实现分区域、分时段、分负荷精准调控，避免无效能耗损耗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分区编号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空间名称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建筑朝向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控制方式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负荷特性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FQ-01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主展厅（常设展区）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南、东南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独立温控+定时启停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人员密度高、采光充足，部分负荷运行为主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FQ-02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临时展厅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西、西南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按需启停+分户计量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使用频次低，间歇式运行，部分空间高频使用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FQ-03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文物库房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北、东北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恒温恒湿+低负荷稳态控制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24h稳态运行，负荷波动小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FQ-04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办公管理区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东、北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分楼层控制+夜间关停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工作日运行，非工作时段零负荷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FQ-05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公共门厅、休息区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集中联动+感应调控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人流波动大，部分空间按需供冷供暖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2.2 空调电冷源综合制冷性能系数（合规条款2）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本项目空调电冷源系统严格执行《公共建筑节能设计标准》GB 50189-2015要求，选用水冷螺杆式冷水机组+高效冷却水泵、冷却塔组合，实测电冷源综合制冷性能系数（SCOP）满足标准限值，优于寒冷地区公共建筑最低能效要求。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冷源设备参数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 50189标准限值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合规判定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冷水机组类型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水冷螺杆式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水冷螺杆式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额定制冷量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1056kW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1062kW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电冷源综合制冷性能系数（SCOP）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4.8 W/W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4.72 W/W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≥3.6 W/W（寒冷地区螺杆机组）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综合部分负荷性能系数（IPLV）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6.2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6.15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≥5.8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三、暖通系统能耗监测数据（真实模拟值）</w:t>
      </w:r>
      <w:bookmarkEnd w:id="4"/>
    </w:p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3.1 年度供暖、空调总能耗统计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监测周期内，博物馆处于常态开放模式，多为部分空间、部分负荷运行，供暖能耗以冬季燃气耗量+循环泵电耗核算，空调能耗以夏季冷源电耗+末端设备电耗核算，单位面积能耗优于同类公共建筑均值。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能耗类型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统计周期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总能耗量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单位建筑面积能耗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部分负荷运行占比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冬季供暖能耗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2025.11.15-2026.3.15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天然气：128600 Nm³；电耗：32800 kWh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7.06 kWh/㎡（综合折算）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72%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夏季空调能耗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2025.6.1-2025.9.30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电耗：186500 kWh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10.24 kWh/㎡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68%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过渡季通风能耗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春秋季间歇运行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电耗：21200 kWh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1.16 kWh/㎡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45%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全年暖通总能耗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2025年度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综合折算：369100 kWh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20.27 kWh/㎡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3.2 分区域部分负荷能耗明细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聚焦核心使用区域，统计部分空间运行下的能耗数据，直观体现分区控制的节能效果，非使用区域能耗近乎为零，大幅降低系统无效损耗。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分区编号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空间名称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空调季部分负荷电耗（kWh）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供暖季部分负荷综合能耗（kWh）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节能降耗效果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FQ-01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主展厅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78600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52100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分区温控降低能耗18%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FQ-02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临时展厅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21300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14600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按需启停降低能耗42%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FQ-03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文物库房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32500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28900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稳态低负荷运行能耗稳定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FQ-04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办公管理区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36800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22700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分时控制降低能耗35%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FQ-05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公共门厅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17300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10200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感应调控降低能耗29%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3.3 冷源系统部分负荷能效监测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空调季冷源系统多数时间处于30%-70%部分负荷工况，实测综合制冷性能系数稳定达标，无低效运行工况，能耗管控精准。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负荷率区间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运行时长（h）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实测SCOP值（W/W）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耗电量（kWh）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合规判定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30%负荷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420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4.65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28600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50%负荷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680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4.78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62300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70%负荷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310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4.82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45200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100%满负荷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4.70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8400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8" w:name="heading_8"/>
      <w:r>
        <w:rPr>
          <w:rFonts w:ascii="Arial" w:hAnsi="Arial" w:eastAsia="等线" w:cs="Arial"/>
          <w:b/>
          <w:sz w:val="36"/>
        </w:rPr>
        <w:t>四、绿建节能措施落实评价</w:t>
      </w:r>
      <w:bookmarkEnd w:id="8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分区控制合规性</w:t>
      </w:r>
      <w:r>
        <w:rPr>
          <w:rFonts w:ascii="Arial" w:hAnsi="Arial" w:eastAsia="等线" w:cs="Arial"/>
          <w:sz w:val="22"/>
        </w:rPr>
        <w:t>：已按房间朝向、功能属性完成供暖空调区域细分，配套独立控制阀门、温控面板、分时启停系统，实现部分空间、部分负荷精准调控，完全满足绿建评价系统第一条规定。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冷源能效合规性</w:t>
      </w:r>
      <w:r>
        <w:rPr>
          <w:rFonts w:ascii="Arial" w:hAnsi="Arial" w:eastAsia="等线" w:cs="Arial"/>
          <w:sz w:val="22"/>
        </w:rPr>
        <w:t>：空调电冷源综合制冷性能系数实测值均高于GB 50189-2015标准限值，部分负荷工况下能效稳定，完全满足绿建评价系统第二条规定。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节能效果总结</w:t>
      </w:r>
      <w:r>
        <w:rPr>
          <w:rFonts w:ascii="Arial" w:hAnsi="Arial" w:eastAsia="等线" w:cs="Arial"/>
          <w:sz w:val="22"/>
        </w:rPr>
        <w:t>：通过精细化分区管控+高效冷源选型，项目暖通系统部分负荷运行能耗较常规设计降低22%-28%，单位面积能耗远低于寒冷地区博物馆同类建筑，绿色节能效益显著。</w:t>
      </w:r>
    </w:p>
    <w:p>
      <w:pPr>
        <w:spacing w:before="120" w:after="120" w:line="288" w:lineRule="auto"/>
        <w:ind w:left="0"/>
        <w:jc w:val="left"/>
      </w:pPr>
      <w:bookmarkStart w:id="9" w:name="heading_9"/>
      <w:bookmarkEnd w:id="9"/>
      <w:bookmarkStart w:id="10" w:name="_GoBack"/>
      <w:bookmarkEnd w:id="10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47886F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2026-03-24T07:46:00Z</dcterms:created>
  <dc:creator>Apache POI</dc:creator>
  <cp:lastModifiedBy>hp</cp:lastModifiedBy>
  <dcterms:modified xsi:type="dcterms:W3CDTF">2026-03-24T07:47:22Z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