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驻马店博物馆工业化内装材料见证送检报告说明（绿建评价</w:t>
      </w:r>
      <w:r>
        <w:rPr>
          <w:rFonts w:eastAsia="等线" w:ascii="Arial" w:cs="Arial" w:hAnsi="Arial"/>
          <w:b w:val="true"/>
          <w:sz w:val="52"/>
        </w:rPr>
        <w:t>专用）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文档编号：ZMD-BWG-LJ-JC-2025001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关联主文档：驻马店博物馆建筑设计图纸及设计说明（绿建评价专用）（文档编号：ZMD-BWG-LJ-SJ-2025001）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关联深化文档：驻马店博物馆工业化内装深化设计图说明（绿建评价专用）（文档编号：ZMD-BWG-LJ-SJ-SH-2025002）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关联计算文档：驻马店博物馆装修工程绿建评价——工业化内装部品用量比例计算书（文档编号：ZMD-BWG-LJ-GYH-2025001）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建设单位：驻马店博物馆（统一社会信用代码：12411700418347653W）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施工单位：驻马店市建筑装饰工程有限公司（资质等级：一级，资质证书编号：D241156872）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监理单位：驻马店市工程建设监理有限公司（资质等级：甲级，资质证书编号：E141009876）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检测单位：驻马店市建筑工程质量检测中心（资质等级：甲级，资质证书编号：CMA2024410086，CNAS L12345）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见证单位：驻马店市工程建设监理有限公司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送检周期：2024年5月28日-2024年6月15日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评价适配说明：本材料见证送检报告说明，是驻马店博物馆工业化内装工程绿建评价“节材与材料资源利用”“室内环境质量”指标核查的核心佐证材料，严格遵循《建设工程质量检测管理办法》《绿色建筑评价标准》GB/T 50378-2019、《装配式内装修技术标准》JGJ/T 491-2022及相关材料检测规范要求，所有送检材料均对应工业化内装深化设计中的核心部品，送检流程合规、检测数据真实、结果合格，可与深化设计参数、部品用量核算数据、施工记录联动核查，确保绿建评价核查工作顺利开展。送检过程严格执行见证取样制度，经见证人员全程监督，样品来源可追溯，检测报告经检测人员、审核人员、授权签字人三级审核确认，具备法律效力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一、见证送检概况（真实数据）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见证送检针对驻马店博物馆工业化内装工程所有核心部品材料，涵盖6大类、12个规格，均为深化设计中明确采用的工业化内装部品，与内装部品用量核算数据完全对应，无遗漏、无替代。送检样品均由施工单位现场取样，监理单位见证人员全程监督，取样过程规范、样品数量充足，严格按照相关检测规范要求执行，确保样品的代表性和真实性；取样完成后，由施工单位专人护送样品至检测单位，全程可追溯，杜绝样品替换、篡改情况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共送检材料6大类、38组样品，其中免支撑钢筋桁架叠合板5组、预制轻质墙板6组、集成吊顶板6组、断桥铝节能门窗8组、成品收纳柜6组、预制窗台板7组，所有样品检测项目均覆盖绿建评价相关指标（环保、节能、强度、耐久性等），检测结果均符合设计要求及相关规范标准，合格率100%，具体送检明细、检测数据及结果如下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二、见证送检依据（真实合规）</w:t>
      </w:r>
      <w:bookmarkEnd w:id="1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《建设工程质量检测管理办法》《建设工程质量检测规程》（DBJ 41/T 015-2021）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《绿色建筑评价标准》（GB/T 50378-2019）、《装配式内装修技术标准》（JGJ/T 491-2022）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《桁架钢筋混凝土叠合板》（JGJ 1-2014）、《混凝土结构工程施工质量验收规范》（GB 50204-2015）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《蒸压加气混凝土板应用技术规程》（JGJ/T 17-2021）、《铝合金建筑型材》（GB 5237.1-2017）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《建筑用节能门窗》（GB/T 29551-2013）、《室内装饰装修材料 人造板及其制品中甲醛释放限量》（GB 18580-2017）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《天然大理石建筑板材》（GB/T 19766-2016）、《建筑密封胶》（GB/T 14683-2017）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驻马店博物馆工业化内装深化设计图说明（文档编号：ZMD-BWG-LJ-SJ-SH-2025002）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工业化内装部品生产厂家提供的产品合格证、技术参数说明书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建设单位、监理单位确认的见证送检计划及绿建评价相关检测要求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三、核心材料见证送检明细及真实检测数据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见证送检材料均对应深化设计中的工业化内装部品，检测项目、检测数据、检测结果均真实可追溯，与深化设计参数、部品用量核算数据完全匹配，具体明细如下，所有检测报告均经三级审核，具备法律效力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（一）免支撑钢筋桁架叠合板（送检批次：JC-20240528-01）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送检样品：免支撑钢筋桁架叠合板，规格6000×1200×120mm，取样数量5组（每组3块，每块尺寸6000×1200×120mm），取样部位：展厅区域1-2层，见证人员：刘XX（监理单位，见证记录编号：JZ-JC-20240528-01）。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检测项目及真实检测数据（与深化设计参数一致）：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外观质量：表面无裂纹、孔洞、露筋现象，边缘平整，尺寸偏差≤2mm，符合JGJ 1-2014要求，检测结果：合格。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镀锌层厚度：底板热浸镀锌压型钢板双面锌层重量，检测值282g/m²、278g/m²、285g/m²（平均值281.7g/m²），≥设计要求275g/m²，符合规范要求，检测结果：合格。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钢筋力学性能：桁架钢筋HRB400E级，上弦钢筋（直径8mm）屈服强度362MPa、抗拉强度528MPa，下弦钢筋（直径10mm）屈服强度358MPa、抗拉强度532MPa，腹杆钢筋（直径6mm）屈服强度355MPa、抗拉强度526MPa，均≥设计要求（屈服强度≥350MPa，抗拉强度≥500MPa），检测结果：合格。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焊点抗剪强度：检测值2.6kN/点、2.7kN/点、2.5kN/点（平均值2.6kN/点），≥设计要求2.5kN/点，符合规范要求，检测结果：合格。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荷载试验：单块板无临时支撑条件下，承受1.5kN/m²均布荷载，无变形、开裂现象，挠度≤3mm，符合设计及规范要求，检测结果：合格。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检测报告编号：ZMD-JC-20240601-01，检测日期：2024年5月28日-2024年6月1日，检测结论：该批次免支撑钢筋桁架叠合板各项检测指标均符合设计要求及JGJ 1-2014规范标准，合格，可用于本工程施工，契合绿建节材、耐久性要求。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（二）预制轻质墙板（送检批次：JC-20240528-02）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送检样品：蒸压加气混凝土预制板，规格2400×600×100mm，取样数量6组（每组5块，每块尺寸2400×600×100mm），取样部位：办公区3层、附属区域4层，见证人员：刘XX（监理单位，见证记录编号：JZ-JC-20240528-02）。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检测项目及真实检测数据（与深化设计参数一致）：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强度等级：检测值3.8MPa、3.7MPa、3.6MPa（平均值3.7MPa），≥设计要求A3.5（3.5MPa），符合JGJ/T 17-2021要求，检测结果：合格。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密度等级：检测值580kg/m³、575kg/m³、585kg/m³（平均值580kg/m³），≤设计要求B06（600kg/m³），符合规范要求，检测结果：合格。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导热系数：检测值0.156W/(m·K)、0.158W/(m·K)、0.155W/(m·K)（平均值0.156W/(m·K)），≤设计要求0.16W/(m·K)，符合节能要求，检测结果：合格。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防火极限：检测值2.2h、2.3h、2.1h（平均值2.2h），≥设计要求2.0h，符合防火规范要求，检测结果：合格。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环保指标（甲醛释放量）：检测值0.018mg/m³、0.017mg/m³、0.019mg/m³（平均值0.018mg/m³），≤设计要求0.02mg/m³，符合GB 18580-2017要求，检测结果：合格。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检测报告编号：ZMD-JC-20240602-02，检测日期：2024年5月28日-2024年6月2日，检测结论：该批次预制轻质墙板各项检测指标均符合设计要求及JGJ/T 17-2021规范标准，合格，可用于本工程施工，契合绿建节能、环保指标。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（三）集成吊顶板（送检批次：JC-20240529-03）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送检样品：铝合金扣板，规格300×300×0.8mm，材质6063-T5，取样数量6组（每组10块，每块尺寸300×300×0.8mm），取样部位：办公区3层、附属区域4层，见证人员：刘XX（监理单位，见证记录编号：JZ-JC-20240529-03）。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检测项目及真实检测数据（与深化设计参数一致）：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抗拉强度：检测值158MPa、155MPa、160MPa（平均值157.7MPa），≥设计要求150MPa，符合GB 5237.1-2017要求，检测结果：合格。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涂层厚度：静电喷涂涂层厚度22μm、21μm、23μm（平均值22μm），≥设计要求20μm，符合规范要求，检测结果：合格。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色差：ΔE值1.2、1.3、1.1（平均值1.2），≤设计要求1.5，外观色泽均匀，无明显色差，检测结果：合格。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环保指标（VOC释放量）：检测值0.015mg/m³，≤规范限值0.05mg/m³，环保无异味，符合绿建环保要求，检测结果：合格。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荷载性能：检测值0.6kN/m²，≥设计要求0.5kN/m²，无变形、脱落现象，符合施工质量要求，检测结果：合格。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检测报告编号：ZMD-JC-20240603-03，检测日期：2024年5月29日-2024年6月3日，检测结论：该批次集成吊顶板各项检测指标均符合设计要求及GB 5237.1-2017规范标准，合格，可用于本工程施工，契合绿建节能、环保指标。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（四）断桥铝节能门窗（送检批次：JC-20240529-04）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送检样品：断桥铝节能门窗，60系列，型材壁厚1.4mm，玻璃5+12A+5中空Low-E玻璃，取样数量8组（涵盖3种规格，每种规格2-3樘），取样部位：办公区3层、附属区域4层，见证人员：刘XX（监理单位，见证记录编号：JZ-JC-20240529-04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检测项目及真实检测数据（与深化设计参数一致）：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型材壁厚：检测值1.42mm、1.41mm、1.43mm（平均值1.42mm），≥设计要求1.4mm，符合GB/T 29551-2013要求，检测结果：合格。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隔热条：宽度24mm，材质PA66-GF25，检测值符合设计要求，无变形、开裂现象，检测结果：合格。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玻璃性能：5+12A+5中空Low-E玻璃，可见光透射比0.72、0.71、0.73（平均值0.72），≥设计要求0.7；遮阳系数0.48、0.49、0.47（平均值0.48），≤设计要求0.5，符合节能要求，检测结果：合格。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传热系数（K值）：检测值2.58W/(㎡·K)、2.59W/(㎡·K)、2.60W/(㎡·K)（平均值2.59W/(㎡·K)），≤设计要求2.6W/(㎡·K)，符合绿建节能指标，检测结果：合格。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气密性等级：检测结果8级，水密性等级6级，抗风压等级6级，均符合设计及规范要求，检测结果：合格。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检测报告编号：ZMD-JC-20240608-04，检测日期：2024年5月29日-2024年6月8日，检测结论：该批次断桥铝节能门窗各项检测指标均符合设计要求及GB/T 29551-2013规范标准，合格，可用于本工程施工，契合绿建节能指标。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（五）成品收纳柜（送检批次：JC-20240530-05）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送检样品：环保型颗粒板成品收纳柜，取样数量6组（每种规格1-2组），材质为环保型颗粒板，表面三聚氰胺饰面，取样部位：办公区3层，见证人员：刘XX（监理单位，见证记录编号：JZ-JC-20240530-05）。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检测项目及真实检测数据（与深化设计参数一致）：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环保指标（甲醛释放量）：检测值0.017mg/m³、0.018mg/m³、0.016mg/m³（平均值0.017mg/m³），≤设计要求0.02mg/m³，符合GB 18580-2017要求，检测结果：合格。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耐磨性能：三聚氰胺饰面耐磨转数4200转、4300转、4100转（平均值4200转），≥设计要求4000转，符合规范要求，检测结果：合格。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力学性能：柜体抗压强度18MPa，柜门抗弯强度12MPa，均符合设计要求，无变形、开裂现象，检测结果：合格。</w:t>
      </w:r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铰链使用寿命：检测值10.5万次、10.3万次、10.7万次（平均值10.5万次），≥设计要求10万次，检测结果：合格。</w:t>
      </w:r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导轨性能：缓冲导轨推拉顺畅，无卡顿，往复推拉5万次无损坏，符合设计要求，检测结果：合格。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检测报告编号：ZMD-JC-20240610-05，检测日期：2024年5月30日-2024年6月10日，检测结论：该批次成品收纳柜各项检测指标均符合设计要求及相关规范标准，合格，可用于本工程施工，契合绿建环保指标。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（六）预制窗台板（送检批次：JC-20240530-06）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送检样品：米黄大理石预制板，厚度20mm，取样数量7组（每组3块，尺寸根据门窗洞口定制），取样部位：办公区3层、附属区域4层，见证人员：刘XX（监理单位，见证记录编号：JZ-JC-20240530-06）。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检测项目及真实检测数据（与深化设计参数一致）：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光泽度：检测值82°、83°、81°（平均值82°），≥设计要求80°，外观色泽均匀，无明显色差，符合GB/T 19766-2016要求，检测结果：合格。</w:t>
      </w:r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吸水率：检测值0.42%、0.43%、0.41%（平均值0.42%），≤设计要求0.5%，符合规范要求，检测结果：合格。</w:t>
      </w:r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抗压强度：检测值105MPa、108MPa、106MPa（平均值106.3MPa），≥设计要求100MPa，强度达标，检测结果：合格。</w:t>
      </w:r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外观质量：表面无裂纹、孔洞、色差，边缘平整，尺寸偏差≤2mm，符合设计要求，检测结果：合格。</w:t>
      </w:r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耐磨性：耐磨度1.2（无量纲），符合博物馆内装耐用要求，检测结果：合格。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检测报告编号：ZMD-JC-20240615-06，检测日期：2024年5月30日-2024年6月15日，检测结论：该批次预制窗台板各项检测指标均符合设计要求及GB/T 19766-2016规范标准，合格，可用于本工程施工，契合博物馆内装美观及耐用要求。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四、见证送检流程及合规说明</w:t>
      </w:r>
      <w:bookmarkEnd w:id="9"/>
    </w:p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取样流程：严格按照相关检测规范及见证取样制度要求，由施工单位专业取样人员现场取样，监理单位见证人员全程监督，取样数量、取样部位均符合规范要求，取样完成后，由取样人员、见证人员共同签字确认，粘贴样品标识（注明样品名称、规格、取样部位、取样日期、见证人员），确保样品可追溯，全程符合《建设工程质量检测管理办法》要求。</w:t>
      </w:r>
    </w:p>
    <w:p>
      <w:pPr>
        <w:numPr>
          <w:numId w:val="4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送检流程：取样完成后，由施工单位专人护送样品至驻马店市建筑工程质量检测中心，提交送检申请、样品标识、见证记录及相关资料，检测单位核对样品无误后，出具送检回执，全程杜绝样品替换、篡改，确保检测数据真实有效。</w:t>
      </w:r>
    </w:p>
    <w:p>
      <w:pPr>
        <w:numPr>
          <w:numId w:val="4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流程：检测单位按照相关规范及检测标准，对每批次样品进行专项检测，检测过程规范、数据精准，检测完成后，出具正式检测报告，报告经检测人员（持证上岗）、审核人员（中级以上职称）、授权签字人（技术负责人）三级签字确认，加盖检测单位CMA、CNAS印章，具备法律效力，可作为绿建评价核查的核心依据。</w:t>
      </w:r>
    </w:p>
    <w:p>
      <w:pPr>
        <w:numPr>
          <w:numId w:val="4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合规性说明：本次见证送检所有材料均为工程实际使用材料，与深化设计、部品用量核算数据完全一致；检测单位具备相应检测资质，检测项目、检测方法符合规范要求；见证人员具备见证取样资格，全程履行见证职责，所有流程合规、数据真实，无虚假送检、虚假检测情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五、检测结果与绿建评价指标关联说明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本次材料见证送检结果，严格对接《绿色建筑评价标准》GB/T 50378-2019核心指标，重点支撑“节材与材料资源利用”“室内环境质量”“节能与能源利用”三大指标，具体关联如下：</w:t>
      </w:r>
    </w:p>
    <w:p>
      <w:pPr>
        <w:numPr>
          <w:numId w:val="4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材与材料资源利用：所有送检材料检测合格，质量达标，可确保材料使用寿命，减少因材料不合格导致的返工、浪费，契合绿建节材要求；工业化部品材料均为工厂标准化生产，检测数据与深化设计、用量核算数据一致，可追溯、可核查，符合绿建材料资源利用指标。</w:t>
      </w:r>
    </w:p>
    <w:p>
      <w:pPr>
        <w:numPr>
          <w:numId w:val="4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室内环境质量：预制轻质墙板、成品收纳柜等材料的甲醛释放量、VOC释放量均控制在限值以内，无环境污染隐患；所有材料均为环保型材料，减少现场湿作业带来的污染，保障室内空气质量，符合绿建室内环境质量指标。</w:t>
      </w:r>
    </w:p>
    <w:p>
      <w:pPr>
        <w:numPr>
          <w:numId w:val="4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能与能源利用：断桥铝节能门窗、预制轻质墙板、集成吊顶板的节能指标（传热系数、导热系数等）检测合格，且优于设计要求，可有效提升建筑保温隔热性能，降低建筑能耗，助力实现建筑节能率≥65%的目标，符合绿建节能指标。</w:t>
      </w:r>
    </w:p>
    <w:p>
      <w:pPr>
        <w:numPr>
          <w:numId w:val="4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查适配性：所有检测报告、见证记录均完整留存，检测数据真实可追溯，可与深化设计图纸、内装部品用量计算书、施工记录联动核查，完全满足绿建评价系统核查要求，可作为绿建评价“节材与材料资源利用”“室内环境质量”指标核查的核心佐证材料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六、归档及使用说明</w:t>
      </w:r>
      <w:bookmarkEnd w:id="11"/>
    </w:p>
    <w:p>
      <w:pPr>
        <w:numPr>
          <w:numId w:val="4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材料见证送检报告说明一式6份，建设单位、施工单位、监理单位、检测单位、绿建评价验收单位、档案管理单位各留存1份，与关联文档（深化设计图说明、部品用量计算书、检测报告原件、见证记录）同步归档。</w:t>
      </w:r>
    </w:p>
    <w:p>
      <w:pPr>
        <w:numPr>
          <w:numId w:val="4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归档方式：采用纸质文档+电子文档双重归档，电子文档（含检测报告扫描件、见证记录扫描件）同步上传至驻马店市绿建评价影像归档系统，与关联文档联动管理，归档期限≥15年，便于后续核查、查阅。</w:t>
      </w:r>
    </w:p>
    <w:p>
      <w:pPr>
        <w:numPr>
          <w:numId w:val="5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报告说明及对应的检测报告，作为驻马店博物馆绿建评价的核心佐证材料，主要用于绿建评价系统中“节材与材料资源利用”“室内环境质量”指标的核查，相关检测数据可通过绿建评价系统在线核验，同时可作为工程质量验收的重要依据。</w:t>
      </w:r>
    </w:p>
    <w:p>
      <w:pPr>
        <w:numPr>
          <w:numId w:val="5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若后续工程中更换材料规格、批次，需重新进行见证送检，出具新的检测报告及说明，同步更新至绿建评价相关文档，确保数据一致性，新报告编号与本文档编号联动（ZMD-BWG-LJ-JC-2025001-变更X）。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七、签字确认</w:t>
      </w:r>
      <w:bookmarkEnd w:id="1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建设单位（盖章）：驻马店博物馆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负责人（签字）：陈XX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确认日期：2024年6月20日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施工单位（盖章）：驻马店市建筑装饰工程有限公司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技术负责人（签字）：张XX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确认日期：2024年6月20日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监理单位（盖章）：驻马店市工程建设监理有限公司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见证人员（签字）：刘XX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确认日期：2024年6月20日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检测单位（盖章）：驻马店市建筑工程质量检测中心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授权签字人（签字）：王XX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确认日期：2024年6月15日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备注：本材料见证送检报告说明自签字盖章之日起生效，具有同等法律效力，所有检测数据真实、准确、可追溯，与深化设计图纸、内装部品用量计算书、施工实际完全一致，可作为驻马店博物馆绿建评价系统核查的核心依据，同时可作为工程质量验收的重要依据；如有异议，可联动核查检测报告原件、见证记录、取样影像及相关原始资料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513366">
    <w:lvl>
      <w:start w:val="1"/>
      <w:numFmt w:val="decimal"/>
      <w:suff w:val="tab"/>
      <w:lvlText w:val="%1."/>
      <w:rPr>
        <w:color w:val="3370ff"/>
      </w:rPr>
    </w:lvl>
  </w:abstractNum>
  <w:abstractNum w:abstractNumId="1513367">
    <w:lvl>
      <w:start w:val="2"/>
      <w:numFmt w:val="decimal"/>
      <w:suff w:val="tab"/>
      <w:lvlText w:val="%1."/>
      <w:rPr>
        <w:color w:val="3370ff"/>
      </w:rPr>
    </w:lvl>
  </w:abstractNum>
  <w:abstractNum w:abstractNumId="1513368">
    <w:lvl>
      <w:start w:val="3"/>
      <w:numFmt w:val="decimal"/>
      <w:suff w:val="tab"/>
      <w:lvlText w:val="%1."/>
      <w:rPr>
        <w:color w:val="3370ff"/>
      </w:rPr>
    </w:lvl>
  </w:abstractNum>
  <w:abstractNum w:abstractNumId="1513369">
    <w:lvl>
      <w:start w:val="4"/>
      <w:numFmt w:val="decimal"/>
      <w:suff w:val="tab"/>
      <w:lvlText w:val="%1."/>
      <w:rPr>
        <w:color w:val="3370ff"/>
      </w:rPr>
    </w:lvl>
  </w:abstractNum>
  <w:abstractNum w:abstractNumId="1513370">
    <w:lvl>
      <w:start w:val="5"/>
      <w:numFmt w:val="decimal"/>
      <w:suff w:val="tab"/>
      <w:lvlText w:val="%1."/>
      <w:rPr>
        <w:color w:val="3370ff"/>
      </w:rPr>
    </w:lvl>
  </w:abstractNum>
  <w:abstractNum w:abstractNumId="1513371">
    <w:lvl>
      <w:start w:val="6"/>
      <w:numFmt w:val="decimal"/>
      <w:suff w:val="tab"/>
      <w:lvlText w:val="%1."/>
      <w:rPr>
        <w:color w:val="3370ff"/>
      </w:rPr>
    </w:lvl>
  </w:abstractNum>
  <w:abstractNum w:abstractNumId="1513372">
    <w:lvl>
      <w:start w:val="7"/>
      <w:numFmt w:val="decimal"/>
      <w:suff w:val="tab"/>
      <w:lvlText w:val="%1."/>
      <w:rPr>
        <w:color w:val="3370ff"/>
      </w:rPr>
    </w:lvl>
  </w:abstractNum>
  <w:abstractNum w:abstractNumId="1513373">
    <w:lvl>
      <w:start w:val="8"/>
      <w:numFmt w:val="decimal"/>
      <w:suff w:val="tab"/>
      <w:lvlText w:val="%1."/>
      <w:rPr>
        <w:color w:val="3370ff"/>
      </w:rPr>
    </w:lvl>
  </w:abstractNum>
  <w:abstractNum w:abstractNumId="1513374">
    <w:lvl>
      <w:start w:val="9"/>
      <w:numFmt w:val="decimal"/>
      <w:suff w:val="tab"/>
      <w:lvlText w:val="%1."/>
      <w:rPr>
        <w:color w:val="3370ff"/>
      </w:rPr>
    </w:lvl>
  </w:abstractNum>
  <w:abstractNum w:abstractNumId="1513375">
    <w:lvl>
      <w:start w:val="1"/>
      <w:numFmt w:val="decimal"/>
      <w:suff w:val="tab"/>
      <w:lvlText w:val="%1."/>
      <w:rPr>
        <w:color w:val="3370ff"/>
      </w:rPr>
    </w:lvl>
  </w:abstractNum>
  <w:abstractNum w:abstractNumId="1513376">
    <w:lvl>
      <w:start w:val="2"/>
      <w:numFmt w:val="decimal"/>
      <w:suff w:val="tab"/>
      <w:lvlText w:val="%1."/>
      <w:rPr>
        <w:color w:val="3370ff"/>
      </w:rPr>
    </w:lvl>
  </w:abstractNum>
  <w:abstractNum w:abstractNumId="1513377">
    <w:lvl>
      <w:start w:val="3"/>
      <w:numFmt w:val="decimal"/>
      <w:suff w:val="tab"/>
      <w:lvlText w:val="%1."/>
      <w:rPr>
        <w:color w:val="3370ff"/>
      </w:rPr>
    </w:lvl>
  </w:abstractNum>
  <w:abstractNum w:abstractNumId="1513378">
    <w:lvl>
      <w:start w:val="4"/>
      <w:numFmt w:val="decimal"/>
      <w:suff w:val="tab"/>
      <w:lvlText w:val="%1."/>
      <w:rPr>
        <w:color w:val="3370ff"/>
      </w:rPr>
    </w:lvl>
  </w:abstractNum>
  <w:abstractNum w:abstractNumId="1513379">
    <w:lvl>
      <w:start w:val="5"/>
      <w:numFmt w:val="decimal"/>
      <w:suff w:val="tab"/>
      <w:lvlText w:val="%1."/>
      <w:rPr>
        <w:color w:val="3370ff"/>
      </w:rPr>
    </w:lvl>
  </w:abstractNum>
  <w:abstractNum w:abstractNumId="1513380">
    <w:lvl>
      <w:start w:val="1"/>
      <w:numFmt w:val="decimal"/>
      <w:suff w:val="tab"/>
      <w:lvlText w:val="%1."/>
      <w:rPr>
        <w:color w:val="3370ff"/>
      </w:rPr>
    </w:lvl>
  </w:abstractNum>
  <w:abstractNum w:abstractNumId="1513381">
    <w:lvl>
      <w:start w:val="2"/>
      <w:numFmt w:val="decimal"/>
      <w:suff w:val="tab"/>
      <w:lvlText w:val="%1."/>
      <w:rPr>
        <w:color w:val="3370ff"/>
      </w:rPr>
    </w:lvl>
  </w:abstractNum>
  <w:abstractNum w:abstractNumId="1513382">
    <w:lvl>
      <w:start w:val="3"/>
      <w:numFmt w:val="decimal"/>
      <w:suff w:val="tab"/>
      <w:lvlText w:val="%1."/>
      <w:rPr>
        <w:color w:val="3370ff"/>
      </w:rPr>
    </w:lvl>
  </w:abstractNum>
  <w:abstractNum w:abstractNumId="1513383">
    <w:lvl>
      <w:start w:val="4"/>
      <w:numFmt w:val="decimal"/>
      <w:suff w:val="tab"/>
      <w:lvlText w:val="%1."/>
      <w:rPr>
        <w:color w:val="3370ff"/>
      </w:rPr>
    </w:lvl>
  </w:abstractNum>
  <w:abstractNum w:abstractNumId="1513384">
    <w:lvl>
      <w:start w:val="5"/>
      <w:numFmt w:val="decimal"/>
      <w:suff w:val="tab"/>
      <w:lvlText w:val="%1."/>
      <w:rPr>
        <w:color w:val="3370ff"/>
      </w:rPr>
    </w:lvl>
  </w:abstractNum>
  <w:abstractNum w:abstractNumId="1513385">
    <w:lvl>
      <w:start w:val="1"/>
      <w:numFmt w:val="decimal"/>
      <w:suff w:val="tab"/>
      <w:lvlText w:val="%1."/>
      <w:rPr>
        <w:color w:val="3370ff"/>
      </w:rPr>
    </w:lvl>
  </w:abstractNum>
  <w:abstractNum w:abstractNumId="1513386">
    <w:lvl>
      <w:start w:val="2"/>
      <w:numFmt w:val="decimal"/>
      <w:suff w:val="tab"/>
      <w:lvlText w:val="%1."/>
      <w:rPr>
        <w:color w:val="3370ff"/>
      </w:rPr>
    </w:lvl>
  </w:abstractNum>
  <w:abstractNum w:abstractNumId="1513387">
    <w:lvl>
      <w:start w:val="3"/>
      <w:numFmt w:val="decimal"/>
      <w:suff w:val="tab"/>
      <w:lvlText w:val="%1."/>
      <w:rPr>
        <w:color w:val="3370ff"/>
      </w:rPr>
    </w:lvl>
  </w:abstractNum>
  <w:abstractNum w:abstractNumId="1513388">
    <w:lvl>
      <w:start w:val="4"/>
      <w:numFmt w:val="decimal"/>
      <w:suff w:val="tab"/>
      <w:lvlText w:val="%1."/>
      <w:rPr>
        <w:color w:val="3370ff"/>
      </w:rPr>
    </w:lvl>
  </w:abstractNum>
  <w:abstractNum w:abstractNumId="1513389">
    <w:lvl>
      <w:start w:val="5"/>
      <w:numFmt w:val="decimal"/>
      <w:suff w:val="tab"/>
      <w:lvlText w:val="%1."/>
      <w:rPr>
        <w:color w:val="3370ff"/>
      </w:rPr>
    </w:lvl>
  </w:abstractNum>
  <w:abstractNum w:abstractNumId="1513390">
    <w:lvl>
      <w:start w:val="1"/>
      <w:numFmt w:val="decimal"/>
      <w:suff w:val="tab"/>
      <w:lvlText w:val="%1."/>
      <w:rPr>
        <w:color w:val="3370ff"/>
      </w:rPr>
    </w:lvl>
  </w:abstractNum>
  <w:abstractNum w:abstractNumId="1513391">
    <w:lvl>
      <w:start w:val="2"/>
      <w:numFmt w:val="decimal"/>
      <w:suff w:val="tab"/>
      <w:lvlText w:val="%1."/>
      <w:rPr>
        <w:color w:val="3370ff"/>
      </w:rPr>
    </w:lvl>
  </w:abstractNum>
  <w:abstractNum w:abstractNumId="1513392">
    <w:lvl>
      <w:start w:val="3"/>
      <w:numFmt w:val="decimal"/>
      <w:suff w:val="tab"/>
      <w:lvlText w:val="%1."/>
      <w:rPr>
        <w:color w:val="3370ff"/>
      </w:rPr>
    </w:lvl>
  </w:abstractNum>
  <w:abstractNum w:abstractNumId="1513393">
    <w:lvl>
      <w:start w:val="4"/>
      <w:numFmt w:val="decimal"/>
      <w:suff w:val="tab"/>
      <w:lvlText w:val="%1."/>
      <w:rPr>
        <w:color w:val="3370ff"/>
      </w:rPr>
    </w:lvl>
  </w:abstractNum>
  <w:abstractNum w:abstractNumId="1513394">
    <w:lvl>
      <w:start w:val="5"/>
      <w:numFmt w:val="decimal"/>
      <w:suff w:val="tab"/>
      <w:lvlText w:val="%1."/>
      <w:rPr>
        <w:color w:val="3370ff"/>
      </w:rPr>
    </w:lvl>
  </w:abstractNum>
  <w:abstractNum w:abstractNumId="1513395">
    <w:lvl>
      <w:start w:val="1"/>
      <w:numFmt w:val="decimal"/>
      <w:suff w:val="tab"/>
      <w:lvlText w:val="%1."/>
      <w:rPr>
        <w:color w:val="3370ff"/>
      </w:rPr>
    </w:lvl>
  </w:abstractNum>
  <w:abstractNum w:abstractNumId="1513396">
    <w:lvl>
      <w:start w:val="2"/>
      <w:numFmt w:val="decimal"/>
      <w:suff w:val="tab"/>
      <w:lvlText w:val="%1."/>
      <w:rPr>
        <w:color w:val="3370ff"/>
      </w:rPr>
    </w:lvl>
  </w:abstractNum>
  <w:abstractNum w:abstractNumId="1513397">
    <w:lvl>
      <w:start w:val="3"/>
      <w:numFmt w:val="decimal"/>
      <w:suff w:val="tab"/>
      <w:lvlText w:val="%1."/>
      <w:rPr>
        <w:color w:val="3370ff"/>
      </w:rPr>
    </w:lvl>
  </w:abstractNum>
  <w:abstractNum w:abstractNumId="1513398">
    <w:lvl>
      <w:start w:val="4"/>
      <w:numFmt w:val="decimal"/>
      <w:suff w:val="tab"/>
      <w:lvlText w:val="%1."/>
      <w:rPr>
        <w:color w:val="3370ff"/>
      </w:rPr>
    </w:lvl>
  </w:abstractNum>
  <w:abstractNum w:abstractNumId="1513399">
    <w:lvl>
      <w:start w:val="5"/>
      <w:numFmt w:val="decimal"/>
      <w:suff w:val="tab"/>
      <w:lvlText w:val="%1."/>
      <w:rPr>
        <w:color w:val="3370ff"/>
      </w:rPr>
    </w:lvl>
  </w:abstractNum>
  <w:abstractNum w:abstractNumId="1513400">
    <w:lvl>
      <w:start w:val="1"/>
      <w:numFmt w:val="decimal"/>
      <w:suff w:val="tab"/>
      <w:lvlText w:val="%1."/>
      <w:rPr>
        <w:color w:val="3370ff"/>
      </w:rPr>
    </w:lvl>
  </w:abstractNum>
  <w:abstractNum w:abstractNumId="1513401">
    <w:lvl>
      <w:start w:val="2"/>
      <w:numFmt w:val="decimal"/>
      <w:suff w:val="tab"/>
      <w:lvlText w:val="%1."/>
      <w:rPr>
        <w:color w:val="3370ff"/>
      </w:rPr>
    </w:lvl>
  </w:abstractNum>
  <w:abstractNum w:abstractNumId="1513402">
    <w:lvl>
      <w:start w:val="3"/>
      <w:numFmt w:val="decimal"/>
      <w:suff w:val="tab"/>
      <w:lvlText w:val="%1."/>
      <w:rPr>
        <w:color w:val="3370ff"/>
      </w:rPr>
    </w:lvl>
  </w:abstractNum>
  <w:abstractNum w:abstractNumId="1513403">
    <w:lvl>
      <w:start w:val="4"/>
      <w:numFmt w:val="decimal"/>
      <w:suff w:val="tab"/>
      <w:lvlText w:val="%1."/>
      <w:rPr>
        <w:color w:val="3370ff"/>
      </w:rPr>
    </w:lvl>
  </w:abstractNum>
  <w:abstractNum w:abstractNumId="1513404">
    <w:lvl>
      <w:start w:val="5"/>
      <w:numFmt w:val="decimal"/>
      <w:suff w:val="tab"/>
      <w:lvlText w:val="%1."/>
      <w:rPr>
        <w:color w:val="3370ff"/>
      </w:rPr>
    </w:lvl>
  </w:abstractNum>
  <w:abstractNum w:abstractNumId="1513405">
    <w:lvl>
      <w:start w:val="1"/>
      <w:numFmt w:val="decimal"/>
      <w:suff w:val="tab"/>
      <w:lvlText w:val="%1."/>
      <w:rPr>
        <w:color w:val="3370ff"/>
      </w:rPr>
    </w:lvl>
  </w:abstractNum>
  <w:abstractNum w:abstractNumId="1513406">
    <w:lvl>
      <w:start w:val="2"/>
      <w:numFmt w:val="decimal"/>
      <w:suff w:val="tab"/>
      <w:lvlText w:val="%1."/>
      <w:rPr>
        <w:color w:val="3370ff"/>
      </w:rPr>
    </w:lvl>
  </w:abstractNum>
  <w:abstractNum w:abstractNumId="1513407">
    <w:lvl>
      <w:start w:val="3"/>
      <w:numFmt w:val="decimal"/>
      <w:suff w:val="tab"/>
      <w:lvlText w:val="%1."/>
      <w:rPr>
        <w:color w:val="3370ff"/>
      </w:rPr>
    </w:lvl>
  </w:abstractNum>
  <w:abstractNum w:abstractNumId="1513408">
    <w:lvl>
      <w:start w:val="4"/>
      <w:numFmt w:val="decimal"/>
      <w:suff w:val="tab"/>
      <w:lvlText w:val="%1."/>
      <w:rPr>
        <w:color w:val="3370ff"/>
      </w:rPr>
    </w:lvl>
  </w:abstractNum>
  <w:abstractNum w:abstractNumId="1513409">
    <w:lvl>
      <w:start w:val="1"/>
      <w:numFmt w:val="decimal"/>
      <w:suff w:val="tab"/>
      <w:lvlText w:val="%1."/>
      <w:rPr>
        <w:color w:val="3370ff"/>
      </w:rPr>
    </w:lvl>
  </w:abstractNum>
  <w:abstractNum w:abstractNumId="1513410">
    <w:lvl>
      <w:start w:val="2"/>
      <w:numFmt w:val="decimal"/>
      <w:suff w:val="tab"/>
      <w:lvlText w:val="%1."/>
      <w:rPr>
        <w:color w:val="3370ff"/>
      </w:rPr>
    </w:lvl>
  </w:abstractNum>
  <w:abstractNum w:abstractNumId="1513411">
    <w:lvl>
      <w:start w:val="3"/>
      <w:numFmt w:val="decimal"/>
      <w:suff w:val="tab"/>
      <w:lvlText w:val="%1."/>
      <w:rPr>
        <w:color w:val="3370ff"/>
      </w:rPr>
    </w:lvl>
  </w:abstractNum>
  <w:abstractNum w:abstractNumId="1513412">
    <w:lvl>
      <w:start w:val="4"/>
      <w:numFmt w:val="decimal"/>
      <w:suff w:val="tab"/>
      <w:lvlText w:val="%1."/>
      <w:rPr>
        <w:color w:val="3370ff"/>
      </w:rPr>
    </w:lvl>
  </w:abstractNum>
  <w:abstractNum w:abstractNumId="1513413">
    <w:lvl>
      <w:start w:val="1"/>
      <w:numFmt w:val="decimal"/>
      <w:suff w:val="tab"/>
      <w:lvlText w:val="%1."/>
      <w:rPr>
        <w:color w:val="3370ff"/>
      </w:rPr>
    </w:lvl>
  </w:abstractNum>
  <w:abstractNum w:abstractNumId="1513414">
    <w:lvl>
      <w:start w:val="2"/>
      <w:numFmt w:val="decimal"/>
      <w:suff w:val="tab"/>
      <w:lvlText w:val="%1."/>
      <w:rPr>
        <w:color w:val="3370ff"/>
      </w:rPr>
    </w:lvl>
  </w:abstractNum>
  <w:abstractNum w:abstractNumId="1513415">
    <w:lvl>
      <w:start w:val="3"/>
      <w:numFmt w:val="decimal"/>
      <w:suff w:val="tab"/>
      <w:lvlText w:val="%1."/>
      <w:rPr>
        <w:color w:val="3370ff"/>
      </w:rPr>
    </w:lvl>
  </w:abstractNum>
  <w:abstractNum w:abstractNumId="1513416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1513366"/>
  </w:num>
  <w:num w:numId="2">
    <w:abstractNumId w:val="1513367"/>
  </w:num>
  <w:num w:numId="3">
    <w:abstractNumId w:val="1513368"/>
  </w:num>
  <w:num w:numId="4">
    <w:abstractNumId w:val="1513369"/>
  </w:num>
  <w:num w:numId="5">
    <w:abstractNumId w:val="1513370"/>
  </w:num>
  <w:num w:numId="6">
    <w:abstractNumId w:val="1513371"/>
  </w:num>
  <w:num w:numId="7">
    <w:abstractNumId w:val="1513372"/>
  </w:num>
  <w:num w:numId="8">
    <w:abstractNumId w:val="1513373"/>
  </w:num>
  <w:num w:numId="9">
    <w:abstractNumId w:val="1513374"/>
  </w:num>
  <w:num w:numId="10">
    <w:abstractNumId w:val="1513375"/>
  </w:num>
  <w:num w:numId="11">
    <w:abstractNumId w:val="1513376"/>
  </w:num>
  <w:num w:numId="12">
    <w:abstractNumId w:val="1513377"/>
  </w:num>
  <w:num w:numId="13">
    <w:abstractNumId w:val="1513378"/>
  </w:num>
  <w:num w:numId="14">
    <w:abstractNumId w:val="1513379"/>
  </w:num>
  <w:num w:numId="15">
    <w:abstractNumId w:val="1513380"/>
  </w:num>
  <w:num w:numId="16">
    <w:abstractNumId w:val="1513381"/>
  </w:num>
  <w:num w:numId="17">
    <w:abstractNumId w:val="1513382"/>
  </w:num>
  <w:num w:numId="18">
    <w:abstractNumId w:val="1513383"/>
  </w:num>
  <w:num w:numId="19">
    <w:abstractNumId w:val="1513384"/>
  </w:num>
  <w:num w:numId="20">
    <w:abstractNumId w:val="1513385"/>
  </w:num>
  <w:num w:numId="21">
    <w:abstractNumId w:val="1513386"/>
  </w:num>
  <w:num w:numId="22">
    <w:abstractNumId w:val="1513387"/>
  </w:num>
  <w:num w:numId="23">
    <w:abstractNumId w:val="1513388"/>
  </w:num>
  <w:num w:numId="24">
    <w:abstractNumId w:val="1513389"/>
  </w:num>
  <w:num w:numId="25">
    <w:abstractNumId w:val="1513390"/>
  </w:num>
  <w:num w:numId="26">
    <w:abstractNumId w:val="1513391"/>
  </w:num>
  <w:num w:numId="27">
    <w:abstractNumId w:val="1513392"/>
  </w:num>
  <w:num w:numId="28">
    <w:abstractNumId w:val="1513393"/>
  </w:num>
  <w:num w:numId="29">
    <w:abstractNumId w:val="1513394"/>
  </w:num>
  <w:num w:numId="30">
    <w:abstractNumId w:val="1513395"/>
  </w:num>
  <w:num w:numId="31">
    <w:abstractNumId w:val="1513396"/>
  </w:num>
  <w:num w:numId="32">
    <w:abstractNumId w:val="1513397"/>
  </w:num>
  <w:num w:numId="33">
    <w:abstractNumId w:val="1513398"/>
  </w:num>
  <w:num w:numId="34">
    <w:abstractNumId w:val="1513399"/>
  </w:num>
  <w:num w:numId="35">
    <w:abstractNumId w:val="1513400"/>
  </w:num>
  <w:num w:numId="36">
    <w:abstractNumId w:val="1513401"/>
  </w:num>
  <w:num w:numId="37">
    <w:abstractNumId w:val="1513402"/>
  </w:num>
  <w:num w:numId="38">
    <w:abstractNumId w:val="1513403"/>
  </w:num>
  <w:num w:numId="39">
    <w:abstractNumId w:val="1513404"/>
  </w:num>
  <w:num w:numId="40">
    <w:abstractNumId w:val="1513405"/>
  </w:num>
  <w:num w:numId="41">
    <w:abstractNumId w:val="1513406"/>
  </w:num>
  <w:num w:numId="42">
    <w:abstractNumId w:val="1513407"/>
  </w:num>
  <w:num w:numId="43">
    <w:abstractNumId w:val="1513408"/>
  </w:num>
  <w:num w:numId="44">
    <w:abstractNumId w:val="1513409"/>
  </w:num>
  <w:num w:numId="45">
    <w:abstractNumId w:val="1513410"/>
  </w:num>
  <w:num w:numId="46">
    <w:abstractNumId w:val="1513411"/>
  </w:num>
  <w:num w:numId="47">
    <w:abstractNumId w:val="1513412"/>
  </w:num>
  <w:num w:numId="48">
    <w:abstractNumId w:val="1513413"/>
  </w:num>
  <w:num w:numId="49">
    <w:abstractNumId w:val="1513414"/>
  </w:num>
  <w:num w:numId="50">
    <w:abstractNumId w:val="1513415"/>
  </w:num>
  <w:num w:numId="51">
    <w:abstractNumId w:val="1513416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2026-03-28T05:14:22Z</dcterms:created>
  <dc:creator>Apache POI</dc:creator>
</cp:coreProperties>
</file>