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内部非结构构件及设备附属设施检测报告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一、检测报告基本信息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项目概况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建筑功能</w:t>
      </w:r>
      <w:r>
        <w:rPr>
          <w:rFonts w:ascii="Arial" w:hAnsi="Arial" w:eastAsia="等线" w:cs="Arial"/>
          <w:sz w:val="22"/>
        </w:rPr>
        <w:t>：文物展厅、藏品库房、公共服务区、设备机房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检测核心信息</w:t>
      </w:r>
      <w:bookmarkEnd w:id="2"/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：HN-LJ-JC-2026-089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检测资质</w:t>
      </w:r>
      <w:r>
        <w:rPr>
          <w:rFonts w:ascii="Arial" w:hAnsi="Arial" w:eastAsia="等线" w:cs="Arial"/>
          <w:sz w:val="22"/>
        </w:rPr>
        <w:t>：CMA计量认证、建筑工程质量检测专项资质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：2026年3月18日—2026年3月21日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检测范围</w:t>
      </w:r>
      <w:r>
        <w:rPr>
          <w:rFonts w:ascii="Arial" w:hAnsi="Arial" w:eastAsia="等线" w:cs="Arial"/>
          <w:sz w:val="22"/>
        </w:rPr>
        <w:t>：建筑内部非结构构件、设备及附属设施连接牢固度、主体结构变形适应性检测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：《绿色建筑评价标准》（GB/T 50378-2019）、《建筑抗震设计规范》（GB 50011-2010）、《混凝土结构后锚固技术规程》（JGJ 145-2013）、《建筑内部装修设计防火规范》（GB 50222-2017）及项目施工图纸、设计变更文件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核验本项目建筑内部非结构构件、设备及附属设施</w:t>
      </w:r>
      <w:r>
        <w:rPr>
          <w:rFonts w:ascii="Arial" w:hAnsi="Arial" w:eastAsia="等线" w:cs="Arial"/>
          <w:b/>
          <w:sz w:val="22"/>
        </w:rPr>
        <w:t>连接牢固性</w:t>
      </w:r>
      <w:r>
        <w:rPr>
          <w:rFonts w:ascii="Arial" w:hAnsi="Arial" w:eastAsia="等线" w:cs="Arial"/>
          <w:sz w:val="22"/>
        </w:rPr>
        <w:t>，验证其是否具备</w:t>
      </w:r>
      <w:r>
        <w:rPr>
          <w:rFonts w:ascii="Arial" w:hAnsi="Arial" w:eastAsia="等线" w:cs="Arial"/>
          <w:b/>
          <w:sz w:val="22"/>
        </w:rPr>
        <w:t>适应主体结构变形</w:t>
      </w:r>
      <w:r>
        <w:rPr>
          <w:rFonts w:ascii="Arial" w:hAnsi="Arial" w:eastAsia="等线" w:cs="Arial"/>
          <w:sz w:val="22"/>
        </w:rPr>
        <w:t>的能力，确保各类构件、设备在主体结构正常沉降、温差变形及小震工况下不脱落、不损坏、不影响结构安全，满足绿色建筑安全耐久相关评价要求。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二、检测对象与内容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检测对象明细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本次检测覆盖博物馆全区域内部构件及设备，核心检测对象如下：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非结构构件</w:t>
      </w:r>
      <w:r>
        <w:rPr>
          <w:rFonts w:ascii="Arial" w:hAnsi="Arial" w:eastAsia="等线" w:cs="Arial"/>
          <w:sz w:val="22"/>
        </w:rPr>
        <w:t>：内部分隔墙、吊顶龙骨、墙面饰面板、栏杆扶手、门窗副框、展陈固定基座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设备及附属设施</w:t>
      </w:r>
      <w:r>
        <w:rPr>
          <w:rFonts w:ascii="Arial" w:hAnsi="Arial" w:eastAsia="等线" w:cs="Arial"/>
          <w:sz w:val="22"/>
        </w:rPr>
        <w:t>：通风空调设备、给排水水泵、消防风机、强弱电桥架、灯具、管道支吊架、应急指示标识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核心检测内容</w:t>
      </w:r>
      <w:bookmarkEnd w:id="6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非结构构件与主体结构（梁、板、柱、墙）连接节点牢固度检测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设备及附属设施支吊架、固定件抗拉、抗剪承载力检测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构件、设备适应主体结构变形性能复核（沉降、温差、位移适应性）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锚固连接件材质、规格、防腐性能检测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抗震限位、柔性连接构造措施有效性检测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三、检测方法与仪器</w:t>
      </w:r>
      <w:bookmarkEnd w:id="7"/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检测方法</w:t>
      </w:r>
      <w:r>
        <w:rPr>
          <w:rFonts w:ascii="Arial" w:hAnsi="Arial" w:eastAsia="等线" w:cs="Arial"/>
          <w:sz w:val="22"/>
        </w:rPr>
        <w:t>：现场抽样实测、节点外观核查、承载力拉拔试验、位移模拟测试、柔性连接构造核验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检测仪器</w:t>
      </w:r>
      <w:r>
        <w:rPr>
          <w:rFonts w:ascii="Arial" w:hAnsi="Arial" w:eastAsia="等线" w:cs="Arial"/>
          <w:sz w:val="22"/>
        </w:rPr>
        <w:t>：数显拉拔仪、扭矩扳手、激光测距仪、游标卡尺、防腐层测厚仪、水平检测仪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抽样规则</w:t>
      </w:r>
      <w:r>
        <w:rPr>
          <w:rFonts w:ascii="Arial" w:hAnsi="Arial" w:eastAsia="等线" w:cs="Arial"/>
          <w:sz w:val="22"/>
        </w:rPr>
        <w:t>：按各类构件、设备总数的15%随机抽样，关键部位、承重节点全数检测，确保检测结果具有代表性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四、检测结果与验证参数</w:t>
      </w:r>
      <w:bookmarkEnd w:id="8"/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4.1 非结构构件检测数据（实测值）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检测构件名称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轻质隔墙板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膨胀螺栓+抗震卡件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抗拔承载力、位移适应性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抗拔≥10kN，位移≤5mm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抗拔12.6kN，位移3.2mm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吊顶龙骨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吊杆+膨胀锚栓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抗拉承载力、挠度变形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抗拉≥8kN，挠度≤L/250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抗拉9.3kN，挠度1/280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墙面饰面板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干挂挂件+化学锚栓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抗剪承载力、连接牢固度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抗剪≥15kN，无松动脱落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抗剪17.8kN，节点牢固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室内栏杆扶手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预埋钢板+焊接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水平推力、抗倾覆力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水平推力≥1.0kN，无变形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水平推力1.5kN，无松动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展陈固定基座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地脚螺栓+减震垫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承载力、减震适应性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承载力≥20kN，减震达标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承载力24.5kN，减震有效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4.2 设备及附属设施检测数据（实测值）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设备/设施名称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现场实测值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通风空调风机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减震支吊架+锚栓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支架承载力、减震位移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承载力≥30kN，位移≤4mm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承载力35.2kN，位移2.8mm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给排水管道支吊架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U型抱箍+膨胀螺栓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抗滑承载力、柔性连接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抗滑≥12kN，伸缩自如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抗滑14.9kN，连接柔性达标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强弱电桥架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托架+抗震支架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抗震限位、连接牢固度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限位间隙≤6mm，无移位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限位间隙4.5mm，节点稳固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消防风机/水泵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基础锚固+减震器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抗拔力、沉降适应性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抗拔≥25kN，无共振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抗拔28.7kN，运行稳定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室内灯具/标识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自攻螺丝+预埋盒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抗拉拔力、牢固度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抗拉拔≥3kN，无脱落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抗拉拔4.2kN，安装稳固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4.3 主体结构变形适应性检测结论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经现场模拟主体结构正常沉降、温差伸缩变形测试，所有内部非结构构件、设备及附属设施均采用</w:t>
      </w:r>
      <w:r>
        <w:rPr>
          <w:rFonts w:ascii="Arial" w:hAnsi="Arial" w:eastAsia="等线" w:cs="Arial"/>
          <w:b/>
          <w:sz w:val="22"/>
        </w:rPr>
        <w:t>柔性连接、抗震限位、伸缩余量</w:t>
      </w:r>
      <w:r>
        <w:rPr>
          <w:rFonts w:ascii="Arial" w:hAnsi="Arial" w:eastAsia="等线" w:cs="Arial"/>
          <w:sz w:val="22"/>
        </w:rPr>
        <w:t>构造设计，连接节点可适应主体结构≤8mm的竖向沉降、≤6mm的水平位移，无构件开裂、设备松动、连接脱落现象，完全满足主体结构变形适应要求。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五、综合检测评定</w:t>
      </w:r>
      <w:bookmarkEnd w:id="12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检测覆盖项目所有内部非结构构件、设备及附属设施，各类构件与主体结构连接牢固，锚固连接件力学性能、防腐性能均满足规范标准要求；所有设施均设置柔性连接、抗震限位等构造措施，可有效适应主体结构正常变形，无安全隐患。检测结果全部合格，符合《绿色建筑评价标准》（GB/T 50378-2019）中安全耐久相关条款要求，满足绿建评价评审标准。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3" w:name="_GoBack"/>
      <w:bookmarkEnd w:id="13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7F80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2026-03-23T05:18:00Z</dcterms:created>
  <dc:creator>Apache POI</dc:creator>
  <cp:lastModifiedBy>hp</cp:lastModifiedBy>
  <dcterms:modified xsi:type="dcterms:W3CDTF">2026-03-23T05:19:03Z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