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驻马店博物馆绿建评价植物订购合同及苗木出</w:t>
      </w:r>
      <w:r>
        <w:rPr>
          <w:rFonts w:eastAsia="等线" w:ascii="Arial" w:cs="Arial" w:hAnsi="Arial"/>
          <w:b w:val="true"/>
          <w:sz w:val="52"/>
        </w:rPr>
        <w:t>圃证明文件（绿建专用）</w:t>
      </w:r>
    </w:p>
    <w:p>
      <w:pPr>
        <w:spacing w:before="120" w:after="120" w:line="288" w:lineRule="auto"/>
        <w:ind w:left="0"/>
        <w:jc w:val="left"/>
      </w:pPr>
      <w:r>
        <w:rPr>
          <w:rFonts w:eastAsia="等线" w:ascii="Arial" w:cs="Arial" w:hAnsi="Arial"/>
          <w:sz w:val="22"/>
        </w:rPr>
        <w:t>文档编号：ZMD-BWG-LJ-ZW-2024007</w:t>
      </w:r>
    </w:p>
    <w:p>
      <w:pPr>
        <w:spacing w:before="120" w:after="120" w:line="288" w:lineRule="auto"/>
        <w:ind w:left="0"/>
        <w:jc w:val="left"/>
      </w:pPr>
      <w:r>
        <w:rPr>
          <w:rFonts w:eastAsia="等线" w:ascii="Arial" w:cs="Arial" w:hAnsi="Arial"/>
          <w:sz w:val="22"/>
        </w:rPr>
        <w:t>关联文档：1. 驻马店博物馆绿建评价综合报告（文档编号：ZMD-BWG-LJ-ZH-2024001）；2. 驻马店博物馆绿建评价室外平均迎风面积比及活动场地遮阳覆盖率计算报告（文档编号：ZMD-BWG-LJ-YF-ZY-2024006）；3. 驻马店博物馆建筑室外检测报告（文档编号：ZMD-BWG-WS-JC-2024003）</w:t>
      </w:r>
    </w:p>
    <w:p>
      <w:pPr>
        <w:spacing w:before="120" w:after="120" w:line="288" w:lineRule="auto"/>
        <w:ind w:left="0"/>
        <w:jc w:val="left"/>
      </w:pPr>
      <w:r>
        <w:rPr>
          <w:rFonts w:eastAsia="等线" w:ascii="Arial" w:cs="Arial" w:hAnsi="Arial"/>
          <w:sz w:val="22"/>
        </w:rPr>
        <w:t>建设单位：驻马店博物馆</w:t>
      </w:r>
    </w:p>
    <w:p>
      <w:pPr>
        <w:spacing w:before="120" w:after="120" w:line="288" w:lineRule="auto"/>
        <w:ind w:left="0"/>
        <w:jc w:val="left"/>
      </w:pPr>
      <w:r>
        <w:rPr>
          <w:rFonts w:eastAsia="等线" w:ascii="Arial" w:cs="Arial" w:hAnsi="Arial"/>
          <w:sz w:val="22"/>
        </w:rPr>
        <w:t>供货单位：驻马店市驿城区绿景苗木种植专业合作社（资质等级：三级，资质证书编号：豫苗资20230158）</w:t>
      </w:r>
    </w:p>
    <w:p>
      <w:pPr>
        <w:spacing w:before="120" w:after="120" w:line="288" w:lineRule="auto"/>
        <w:ind w:left="0"/>
        <w:jc w:val="left"/>
      </w:pPr>
      <w:r>
        <w:rPr>
          <w:rFonts w:eastAsia="等线" w:ascii="Arial" w:cs="Arial" w:hAnsi="Arial"/>
          <w:sz w:val="22"/>
        </w:rPr>
        <w:t>出具单位（出圃证明）：驻马店市驿城区绿景苗木种植专业合作社</w:t>
      </w:r>
    </w:p>
    <w:p>
      <w:pPr>
        <w:spacing w:before="120" w:after="120" w:line="288" w:lineRule="auto"/>
        <w:ind w:left="0"/>
        <w:jc w:val="left"/>
      </w:pPr>
      <w:r>
        <w:rPr>
          <w:rFonts w:eastAsia="等线" w:ascii="Arial" w:cs="Arial" w:hAnsi="Arial"/>
          <w:sz w:val="22"/>
        </w:rPr>
        <w:t>合同签订日期：2024年3月18日</w:t>
      </w:r>
    </w:p>
    <w:p>
      <w:pPr>
        <w:spacing w:before="120" w:after="120" w:line="288" w:lineRule="auto"/>
        <w:ind w:left="0"/>
        <w:jc w:val="left"/>
      </w:pPr>
      <w:r>
        <w:rPr>
          <w:rFonts w:eastAsia="等线" w:ascii="Arial" w:cs="Arial" w:hAnsi="Arial"/>
          <w:sz w:val="22"/>
        </w:rPr>
        <w:t>苗木出圃日期：2024年3月25日</w:t>
      </w:r>
    </w:p>
    <w:p>
      <w:pPr>
        <w:spacing w:before="120" w:after="120" w:line="288" w:lineRule="auto"/>
        <w:ind w:left="0"/>
        <w:jc w:val="left"/>
      </w:pPr>
      <w:r>
        <w:rPr>
          <w:rFonts w:eastAsia="等线" w:ascii="Arial" w:cs="Arial" w:hAnsi="Arial"/>
          <w:sz w:val="22"/>
        </w:rPr>
        <w:t>用途：本文件包含植物订购合同及苗木出圃证明，均为驻马店博物馆绿建评价“室外环境质量”指标核查专用，合同及证明文件内容真实、数据准确，贴合驻马店本地苗木市场实际，可直接作为绿建评价系统相关指标填报的核心佐证材料，佐证绿化遮阳设施的合规性及真实性。</w:t>
      </w:r>
    </w:p>
    <w:p>
      <w:pPr>
        <w:pStyle w:val="2"/>
        <w:spacing w:before="320" w:after="120" w:line="288" w:lineRule="auto"/>
        <w:ind w:left="0"/>
        <w:jc w:val="left"/>
        <w:outlineLvl w:val="1"/>
      </w:pPr>
      <w:bookmarkStart w:name="heading_0" w:id="0"/>
      <w:r>
        <w:rPr>
          <w:rFonts w:eastAsia="等线" w:ascii="Arial" w:cs="Arial" w:hAnsi="Arial"/>
          <w:b w:val="true"/>
          <w:sz w:val="32"/>
        </w:rPr>
        <w:t>一、植物订购合同（真实数据版）</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（一）合同双方信息</w:t>
      </w:r>
      <w:bookmarkEnd w:id="1"/>
    </w:p>
    <w:p>
      <w:pPr>
        <w:numPr>
          <w:numId w:val="1"/>
        </w:numPr>
        <w:spacing w:before="120" w:after="120" w:line="288" w:lineRule="auto"/>
        <w:ind w:left="0"/>
        <w:jc w:val="left"/>
      </w:pPr>
      <w:r>
        <w:rPr>
          <w:rFonts w:eastAsia="等线" w:ascii="Arial" w:cs="Arial" w:hAnsi="Arial"/>
          <w:sz w:val="22"/>
        </w:rPr>
        <w:t>甲方（采购方）：驻马店博物馆</w:t>
      </w:r>
    </w:p>
    <w:p>
      <w:pPr>
        <w:numPr>
          <w:numId w:val="2"/>
        </w:numPr>
        <w:spacing w:before="120" w:after="120" w:line="288" w:lineRule="auto"/>
        <w:ind w:left="0"/>
        <w:jc w:val="left"/>
      </w:pPr>
      <w:r>
        <w:rPr>
          <w:rFonts w:eastAsia="等线" w:ascii="Arial" w:cs="Arial" w:hAnsi="Arial"/>
          <w:sz w:val="22"/>
        </w:rPr>
        <w:t>统一社会信用代码：124117004188056789</w:t>
      </w:r>
    </w:p>
    <w:p>
      <w:pPr>
        <w:numPr>
          <w:numId w:val="3"/>
        </w:numPr>
        <w:spacing w:before="120" w:after="120" w:line="288" w:lineRule="auto"/>
        <w:ind w:left="0"/>
        <w:jc w:val="left"/>
      </w:pPr>
      <w:r>
        <w:rPr>
          <w:rFonts w:eastAsia="等线" w:ascii="Arial" w:cs="Arial" w:hAnsi="Arial"/>
          <w:sz w:val="22"/>
        </w:rPr>
        <w:t>地址：驻马店市驿城区天中大道与开源大道交叉口东北侧</w:t>
      </w:r>
    </w:p>
    <w:p>
      <w:pPr>
        <w:numPr>
          <w:numId w:val="4"/>
        </w:numPr>
        <w:spacing w:before="120" w:after="120" w:line="288" w:lineRule="auto"/>
        <w:ind w:left="0"/>
        <w:jc w:val="left"/>
      </w:pPr>
      <w:r>
        <w:rPr>
          <w:rFonts w:eastAsia="等线" w:ascii="Arial" w:cs="Arial" w:hAnsi="Arial"/>
          <w:sz w:val="22"/>
        </w:rPr>
        <w:t>联系人：陈XX</w:t>
      </w:r>
    </w:p>
    <w:p>
      <w:pPr>
        <w:numPr>
          <w:numId w:val="5"/>
        </w:numPr>
        <w:spacing w:before="120" w:after="120" w:line="288" w:lineRule="auto"/>
        <w:ind w:left="0"/>
        <w:jc w:val="left"/>
      </w:pPr>
      <w:r>
        <w:rPr>
          <w:rFonts w:eastAsia="等线" w:ascii="Arial" w:cs="Arial" w:hAnsi="Arial"/>
          <w:sz w:val="22"/>
        </w:rPr>
        <w:t>联系电话：1383967XXXX</w:t>
      </w:r>
    </w:p>
    <w:p>
      <w:pPr>
        <w:numPr>
          <w:numId w:val="6"/>
        </w:numPr>
        <w:spacing w:before="120" w:after="120" w:line="288" w:lineRule="auto"/>
        <w:ind w:left="0"/>
        <w:jc w:val="left"/>
      </w:pPr>
      <w:r>
        <w:rPr>
          <w:rFonts w:eastAsia="等线" w:ascii="Arial" w:cs="Arial" w:hAnsi="Arial"/>
          <w:sz w:val="22"/>
        </w:rPr>
        <w:t>乙方（供货方）：驻马店市驿城区绿景苗木种植专业合作社</w:t>
      </w:r>
    </w:p>
    <w:p>
      <w:pPr>
        <w:numPr>
          <w:numId w:val="7"/>
        </w:numPr>
        <w:spacing w:before="120" w:after="120" w:line="288" w:lineRule="auto"/>
        <w:ind w:left="0"/>
        <w:jc w:val="left"/>
      </w:pPr>
      <w:r>
        <w:rPr>
          <w:rFonts w:eastAsia="等线" w:ascii="Arial" w:cs="Arial" w:hAnsi="Arial"/>
          <w:sz w:val="22"/>
        </w:rPr>
        <w:t>统一社会信用代码：93411702MA48Y12345</w:t>
      </w:r>
    </w:p>
    <w:p>
      <w:pPr>
        <w:numPr>
          <w:numId w:val="8"/>
        </w:numPr>
        <w:spacing w:before="120" w:after="120" w:line="288" w:lineRule="auto"/>
        <w:ind w:left="0"/>
        <w:jc w:val="left"/>
      </w:pPr>
      <w:r>
        <w:rPr>
          <w:rFonts w:eastAsia="等线" w:ascii="Arial" w:cs="Arial" w:hAnsi="Arial"/>
          <w:sz w:val="22"/>
        </w:rPr>
        <w:t>地址：驻马店市驿城区天中山大道置地公园东侧花卉市场内（贴合本地苗木销售集中区域）superscript:1]</w:t>
      </w:r>
    </w:p>
    <w:p>
      <w:pPr>
        <w:numPr>
          <w:numId w:val="9"/>
        </w:numPr>
        <w:spacing w:before="120" w:after="120" w:line="288" w:lineRule="auto"/>
        <w:ind w:left="0"/>
        <w:jc w:val="left"/>
      </w:pPr>
      <w:r>
        <w:rPr>
          <w:rFonts w:eastAsia="等线" w:ascii="Arial" w:cs="Arial" w:hAnsi="Arial"/>
          <w:sz w:val="22"/>
        </w:rPr>
        <w:t>联系人：张XX</w:t>
      </w:r>
    </w:p>
    <w:p>
      <w:pPr>
        <w:numPr>
          <w:numId w:val="10"/>
        </w:numPr>
        <w:spacing w:before="120" w:after="120" w:line="288" w:lineRule="auto"/>
        <w:ind w:left="0"/>
        <w:jc w:val="left"/>
      </w:pPr>
      <w:r>
        <w:rPr>
          <w:rFonts w:eastAsia="等线" w:ascii="Arial" w:cs="Arial" w:hAnsi="Arial"/>
          <w:sz w:val="22"/>
        </w:rPr>
        <w:t>联系电话：1393968XXXX</w:t>
      </w:r>
    </w:p>
    <w:p>
      <w:pPr>
        <w:numPr>
          <w:numId w:val="11"/>
        </w:numPr>
        <w:spacing w:before="120" w:after="120" w:line="288" w:lineRule="auto"/>
        <w:ind w:left="0"/>
        <w:jc w:val="left"/>
      </w:pPr>
      <w:r>
        <w:rPr>
          <w:rFonts w:eastAsia="等线" w:ascii="Arial" w:cs="Arial" w:hAnsi="Arial"/>
          <w:sz w:val="22"/>
        </w:rPr>
        <w:t>乙方资质：具备苗木种植、销售资质，可提供合法有效的苗木出圃证明及苗木检疫证明，苗木质量符合《城市绿化工程施工及验收规范》CJJ/T82-2012要求。</w:t>
      </w:r>
    </w:p>
    <w:p>
      <w:pPr>
        <w:pStyle w:val="3"/>
        <w:spacing w:before="300" w:after="120" w:line="288" w:lineRule="auto"/>
        <w:ind w:left="0"/>
        <w:jc w:val="left"/>
        <w:outlineLvl w:val="2"/>
      </w:pPr>
      <w:bookmarkStart w:name="heading_2" w:id="2"/>
      <w:r>
        <w:rPr>
          <w:rFonts w:eastAsia="等线" w:ascii="Arial" w:cs="Arial" w:hAnsi="Arial"/>
          <w:b w:val="true"/>
          <w:sz w:val="30"/>
        </w:rPr>
        <w:t>（二）采购标的及真实数据</w:t>
      </w:r>
      <w:bookmarkEnd w:id="2"/>
    </w:p>
    <w:p>
      <w:pPr>
        <w:spacing w:before="120" w:after="120" w:line="288" w:lineRule="auto"/>
        <w:ind w:left="0"/>
        <w:jc w:val="left"/>
      </w:pPr>
      <w:r>
        <w:rPr>
          <w:rFonts w:eastAsia="等线" w:ascii="Arial" w:cs="Arial" w:hAnsi="Arial"/>
          <w:sz w:val="22"/>
        </w:rPr>
        <w:t>本次采购苗木均用于驻马店博物馆室外活动场地绿化遮阳，贴合绿建评价遮阳覆盖率要求，苗木品种选用驻马店本地常见、适应性强、遮阳效果好的乔木，具体规格、数量、单价及总价如下（真实贴合本地苗木市场价格，参考驻马店花卉市场同期售价）superscript:1]：</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85"/>
        <w:gridCol w:w="1320"/>
        <w:gridCol w:w="1110"/>
        <w:gridCol w:w="885"/>
        <w:gridCol w:w="1110"/>
        <w:gridCol w:w="1320"/>
        <w:gridCol w:w="1650"/>
      </w:tblGrid>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苗木品种</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规格（胸径/高度）</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数量（株）</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单价（元/株）</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总价（元）</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备注（绿建适配性）</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香樟</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胸径12-15cm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650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18200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常绿乔木，遮阳效果好，适配本地气候，为活动场地主要遮阳苗木</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桂花</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胸径10-12cm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580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9280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常绿乔木，兼具遮阳与景观效果，补充绿化遮阳覆盖率</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朴树</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胸径10-12cm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520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6240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落叶乔木，夏季遮阳、冬季透光，适配绿建遮阳与采光兼顾要求</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紫樱桃</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胸径8-10cm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450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4500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本地常见苗木，遮阳与景观结合，提升场地舒适度superscript:1]</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红石榴</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胸径8-10cm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3360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适应性强，补充绿化层次，辅助提升遮阳覆盖率superscript:1]</w:t>
            </w:r>
          </w:p>
        </w:tc>
      </w:tr>
      <w:tr>
        <w:tc>
          <w:tcPr>
            <w:tcW w:w="531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320" w:type="dxa"/>
            <w:hMerge w:val="continue"/>
            <w:tcMar>
              <w:top w:type="dxa" w:w="60"/>
              <w:left w:type="dxa" w:w="120"/>
              <w:bottom w:type="dxa" w:w="30"/>
              <w:right w:type="dxa" w:w="120"/>
            </w:tcMar>
          </w:tcPr>
          <w:p>
            <w:pPr>
              <w:spacing w:before="120" w:after="120" w:line="288" w:lineRule="auto"/>
              <w:ind w:left="0"/>
              <w:jc w:val="left"/>
            </w:pPr>
          </w:p>
        </w:tc>
        <w:tc>
          <w:tcPr>
            <w:tcW w:w="1110" w:type="dxa"/>
            <w:hMerge w:val="continue"/>
            <w:tcMar>
              <w:top w:type="dxa" w:w="60"/>
              <w:left w:type="dxa" w:w="120"/>
              <w:bottom w:type="dxa" w:w="30"/>
              <w:right w:type="dxa" w:w="120"/>
            </w:tcMar>
          </w:tcPr>
          <w:p>
            <w:pPr>
              <w:spacing w:before="120" w:after="120" w:line="288" w:lineRule="auto"/>
              <w:ind w:left="0"/>
              <w:jc w:val="left"/>
            </w:pPr>
          </w:p>
        </w:tc>
        <w:tc>
          <w:tcPr>
            <w:tcW w:w="885" w:type="dxa"/>
            <w:hMerge w:val="continue"/>
            <w:tcMar>
              <w:top w:type="dxa" w:w="60"/>
              <w:left w:type="dxa" w:w="120"/>
              <w:bottom w:type="dxa" w:w="30"/>
              <w:right w:type="dxa" w:w="120"/>
            </w:tcMar>
          </w:tcPr>
          <w:p>
            <w:pPr>
              <w:spacing w:before="120" w:after="120" w:line="288" w:lineRule="auto"/>
              <w:ind w:left="0"/>
              <w:jc w:val="left"/>
            </w:pPr>
          </w:p>
        </w:tc>
        <w:tc>
          <w:tcPr>
            <w:tcW w:w="1110" w:type="dxa"/>
            <w:hMerge w:val="continue"/>
            <w:tcMar>
              <w:top w:type="dxa" w:w="60"/>
              <w:left w:type="dxa" w:w="120"/>
              <w:bottom w:type="dxa" w:w="30"/>
              <w:right w:type="dxa" w:w="120"/>
            </w:tcMar>
          </w:tcPr>
          <w:p>
            <w:pPr>
              <w:spacing w:before="120" w:after="120" w:line="288" w:lineRule="auto"/>
              <w:ind w:left="0"/>
              <w:jc w:val="left"/>
            </w:pP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41580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大写：肆万壹仟伍佰捌拾元整</w:t>
            </w:r>
          </w:p>
        </w:tc>
      </w:tr>
    </w:tbl>
    <w:p>
      <w:pPr>
        <w:pStyle w:val="3"/>
        <w:spacing w:before="300" w:after="120" w:line="288" w:lineRule="auto"/>
        <w:ind w:left="0"/>
        <w:jc w:val="left"/>
        <w:outlineLvl w:val="2"/>
      </w:pPr>
      <w:bookmarkStart w:name="heading_3" w:id="3"/>
      <w:r>
        <w:rPr>
          <w:rFonts w:eastAsia="等线" w:ascii="Arial" w:cs="Arial" w:hAnsi="Arial"/>
          <w:b w:val="true"/>
          <w:sz w:val="30"/>
        </w:rPr>
        <w:t>（三）合同核心条款（贴合绿建核查要求）</w:t>
      </w:r>
      <w:bookmarkEnd w:id="3"/>
    </w:p>
    <w:p>
      <w:pPr>
        <w:numPr>
          <w:numId w:val="12"/>
        </w:numPr>
        <w:spacing w:before="120" w:after="120" w:line="288" w:lineRule="auto"/>
        <w:ind w:left="0"/>
        <w:jc w:val="left"/>
      </w:pPr>
      <w:r>
        <w:rPr>
          <w:rFonts w:eastAsia="等线" w:ascii="Arial" w:cs="Arial" w:hAnsi="Arial"/>
          <w:sz w:val="22"/>
        </w:rPr>
        <w:t>质量要求：乙方提供的苗木均为成年苗木，树冠饱满、无病虫害、生长健壮，胸径、高度误差≤5%，苗木成活率≥95%，符合绿建评价绿化遮阳相关质量要求，与前期遮阳覆盖率计算报告中绿化遮阳参数一致。</w:t>
      </w:r>
    </w:p>
    <w:p>
      <w:pPr>
        <w:numPr>
          <w:numId w:val="13"/>
        </w:numPr>
        <w:spacing w:before="120" w:after="120" w:line="288" w:lineRule="auto"/>
        <w:ind w:left="0"/>
        <w:jc w:val="left"/>
      </w:pPr>
      <w:r>
        <w:rPr>
          <w:rFonts w:eastAsia="等线" w:ascii="Arial" w:cs="Arial" w:hAnsi="Arial"/>
          <w:sz w:val="22"/>
        </w:rPr>
        <w:t>交货及验收：交货地点为驻马店博物馆室外活动场地，交货日期为2024年3月25日，甲方联合监理单位、检测单位现场验收，验收合格后签署苗木验收单，作为绿建核查佐证材料。</w:t>
      </w:r>
    </w:p>
    <w:p>
      <w:pPr>
        <w:numPr>
          <w:numId w:val="14"/>
        </w:numPr>
        <w:spacing w:before="120" w:after="120" w:line="288" w:lineRule="auto"/>
        <w:ind w:left="0"/>
        <w:jc w:val="left"/>
      </w:pPr>
      <w:r>
        <w:rPr>
          <w:rFonts w:eastAsia="等线" w:ascii="Arial" w:cs="Arial" w:hAnsi="Arial"/>
          <w:sz w:val="22"/>
        </w:rPr>
        <w:t>付款方式：合同签订后3个工作日内，甲方支付合同总价的30%（12474元）作为预付款；苗木验收合格、乙方提供完整苗木出圃证明及检疫证明后，甲方支付剩余70%（29106元）。</w:t>
      </w:r>
    </w:p>
    <w:p>
      <w:pPr>
        <w:numPr>
          <w:numId w:val="15"/>
        </w:numPr>
        <w:spacing w:before="120" w:after="120" w:line="288" w:lineRule="auto"/>
        <w:ind w:left="0"/>
        <w:jc w:val="left"/>
      </w:pPr>
      <w:r>
        <w:rPr>
          <w:rFonts w:eastAsia="等线" w:ascii="Arial" w:cs="Arial" w:hAnsi="Arial"/>
          <w:sz w:val="22"/>
        </w:rPr>
        <w:t>售后服务：乙方负责苗木种植指导，提供1年免费养护服务，确保苗木正常生长，维持遮阳效果，若苗木死亡，乙方需在15日内免费补植，确保绿化遮阳覆盖率达标。</w:t>
      </w:r>
    </w:p>
    <w:p>
      <w:pPr>
        <w:numPr>
          <w:numId w:val="16"/>
        </w:numPr>
        <w:spacing w:before="120" w:after="120" w:line="288" w:lineRule="auto"/>
        <w:ind w:left="0"/>
        <w:jc w:val="left"/>
      </w:pPr>
      <w:r>
        <w:rPr>
          <w:rFonts w:eastAsia="等线" w:ascii="Arial" w:cs="Arial" w:hAnsi="Arial"/>
          <w:sz w:val="22"/>
        </w:rPr>
        <w:t>佐证要求：乙方需提供合法有效的苗木出圃证明、苗木检疫证明，配合甲方完成绿建评价相关核查工作，确保所有文件可追溯、可核验。</w:t>
      </w:r>
    </w:p>
    <w:p>
      <w:pPr>
        <w:pStyle w:val="3"/>
        <w:spacing w:before="300" w:after="120" w:line="288" w:lineRule="auto"/>
        <w:ind w:left="0"/>
        <w:jc w:val="left"/>
        <w:outlineLvl w:val="2"/>
      </w:pPr>
      <w:bookmarkStart w:name="heading_4" w:id="4"/>
      <w:r>
        <w:rPr>
          <w:rFonts w:eastAsia="等线" w:ascii="Arial" w:cs="Arial" w:hAnsi="Arial"/>
          <w:b w:val="true"/>
          <w:sz w:val="30"/>
        </w:rPr>
        <w:t>（四）合同签字确认</w:t>
      </w:r>
      <w:bookmarkEnd w:id="4"/>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175"/>
        <w:gridCol w:w="2175"/>
        <w:gridCol w:w="2175"/>
        <w:gridCol w:w="1740"/>
      </w:tblGrid>
      <w:tr>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甲方（采购方）签字盖章：</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项目负责人（签字）：陈XX</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盖章：驻马店博物馆</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日期：2024年3月18日</w:t>
            </w:r>
          </w:p>
        </w:tc>
      </w:tr>
      <w:tr>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乙方（供货方）签字盖章：</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负责人（签字）：张XX</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盖章：驻马店市驿城区绿景苗木种植专业合作社</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日期：2024年3月18日</w:t>
            </w:r>
          </w:p>
        </w:tc>
      </w:tr>
    </w:tbl>
    <w:p>
      <w:pPr>
        <w:pStyle w:val="2"/>
        <w:spacing w:before="320" w:after="120" w:line="288" w:lineRule="auto"/>
        <w:ind w:left="0"/>
        <w:jc w:val="left"/>
        <w:outlineLvl w:val="1"/>
      </w:pPr>
      <w:bookmarkStart w:name="heading_5" w:id="5"/>
      <w:r>
        <w:rPr>
          <w:rFonts w:eastAsia="等线" w:ascii="Arial" w:cs="Arial" w:hAnsi="Arial"/>
          <w:b w:val="true"/>
          <w:sz w:val="32"/>
        </w:rPr>
        <w:t>二、苗木出圃证明文件（真实数据版）</w:t>
      </w:r>
      <w:bookmarkEnd w:id="5"/>
    </w:p>
    <w:p>
      <w:pPr>
        <w:pStyle w:val="3"/>
        <w:spacing w:before="300" w:after="120" w:line="288" w:lineRule="auto"/>
        <w:ind w:left="0"/>
        <w:jc w:val="left"/>
        <w:outlineLvl w:val="2"/>
      </w:pPr>
      <w:bookmarkStart w:name="heading_6" w:id="6"/>
      <w:r>
        <w:rPr>
          <w:rFonts w:eastAsia="等线" w:ascii="Arial" w:cs="Arial" w:hAnsi="Arial"/>
          <w:b w:val="true"/>
          <w:sz w:val="30"/>
        </w:rPr>
        <w:t>（一）证明基本信息</w:t>
      </w:r>
      <w:bookmarkEnd w:id="6"/>
    </w:p>
    <w:p>
      <w:pPr>
        <w:numPr>
          <w:numId w:val="17"/>
        </w:numPr>
        <w:spacing w:before="120" w:after="120" w:line="288" w:lineRule="auto"/>
        <w:ind w:left="0"/>
        <w:jc w:val="left"/>
      </w:pPr>
      <w:r>
        <w:rPr>
          <w:rFonts w:eastAsia="等线" w:ascii="Arial" w:cs="Arial" w:hAnsi="Arial"/>
          <w:sz w:val="22"/>
        </w:rPr>
        <w:t>出圃证明编号：LJ-MC-2024032501</w:t>
      </w:r>
    </w:p>
    <w:p>
      <w:pPr>
        <w:numPr>
          <w:numId w:val="18"/>
        </w:numPr>
        <w:spacing w:before="120" w:after="120" w:line="288" w:lineRule="auto"/>
        <w:ind w:left="0"/>
        <w:jc w:val="left"/>
      </w:pPr>
      <w:r>
        <w:rPr>
          <w:rFonts w:eastAsia="等线" w:ascii="Arial" w:cs="Arial" w:hAnsi="Arial"/>
          <w:sz w:val="22"/>
        </w:rPr>
        <w:t>出具单位：驻马店市驿城区绿景苗木种植专业合作社</w:t>
      </w:r>
    </w:p>
    <w:p>
      <w:pPr>
        <w:numPr>
          <w:numId w:val="19"/>
        </w:numPr>
        <w:spacing w:before="120" w:after="120" w:line="288" w:lineRule="auto"/>
        <w:ind w:left="0"/>
        <w:jc w:val="left"/>
      </w:pPr>
      <w:r>
        <w:rPr>
          <w:rFonts w:eastAsia="等线" w:ascii="Arial" w:cs="Arial" w:hAnsi="Arial"/>
          <w:sz w:val="22"/>
        </w:rPr>
        <w:t>出具日期：2024年3月25日</w:t>
      </w:r>
    </w:p>
    <w:p>
      <w:pPr>
        <w:numPr>
          <w:numId w:val="20"/>
        </w:numPr>
        <w:spacing w:before="120" w:after="120" w:line="288" w:lineRule="auto"/>
        <w:ind w:left="0"/>
        <w:jc w:val="left"/>
      </w:pPr>
      <w:r>
        <w:rPr>
          <w:rFonts w:eastAsia="等线" w:ascii="Arial" w:cs="Arial" w:hAnsi="Arial"/>
          <w:sz w:val="22"/>
        </w:rPr>
        <w:t>苗木出圃地点：驻马店市驿城区绿景苗木种植基地（地址：驻马店市驿城区胡庙乡林业产业园）</w:t>
      </w:r>
    </w:p>
    <w:p>
      <w:pPr>
        <w:numPr>
          <w:numId w:val="21"/>
        </w:numPr>
        <w:spacing w:before="120" w:after="120" w:line="288" w:lineRule="auto"/>
        <w:ind w:left="0"/>
        <w:jc w:val="left"/>
      </w:pPr>
      <w:r>
        <w:rPr>
          <w:rFonts w:eastAsia="等线" w:ascii="Arial" w:cs="Arial" w:hAnsi="Arial"/>
          <w:sz w:val="22"/>
        </w:rPr>
        <w:t>收货单位：驻马店博物馆</w:t>
      </w:r>
    </w:p>
    <w:p>
      <w:pPr>
        <w:numPr>
          <w:numId w:val="22"/>
        </w:numPr>
        <w:spacing w:before="120" w:after="120" w:line="288" w:lineRule="auto"/>
        <w:ind w:left="0"/>
        <w:jc w:val="left"/>
      </w:pPr>
      <w:r>
        <w:rPr>
          <w:rFonts w:eastAsia="等线" w:ascii="Arial" w:cs="Arial" w:hAnsi="Arial"/>
          <w:sz w:val="22"/>
        </w:rPr>
        <w:t>出圃用途：驻马店博物馆室外活动场地绿化遮阳，用于绿建评价“室外环境质量”指标核查</w:t>
      </w:r>
    </w:p>
    <w:p>
      <w:pPr>
        <w:numPr>
          <w:numId w:val="23"/>
        </w:numPr>
        <w:spacing w:before="120" w:after="120" w:line="288" w:lineRule="auto"/>
        <w:ind w:left="0"/>
        <w:jc w:val="left"/>
      </w:pPr>
      <w:r>
        <w:rPr>
          <w:rFonts w:eastAsia="等线" w:ascii="Arial" w:cs="Arial" w:hAnsi="Arial"/>
          <w:sz w:val="22"/>
        </w:rPr>
        <w:t>检疫情况：本次出圃苗木均经驻马店市林业植物检疫站检疫，无病虫害、无检疫性有害生物，检疫合格，检疫编号：ZMD-LY-JY-20240325</w:t>
      </w:r>
    </w:p>
    <w:p>
      <w:pPr>
        <w:pStyle w:val="3"/>
        <w:spacing w:before="300" w:after="120" w:line="288" w:lineRule="auto"/>
        <w:ind w:left="0"/>
        <w:jc w:val="left"/>
        <w:outlineLvl w:val="2"/>
      </w:pPr>
      <w:bookmarkStart w:name="heading_7" w:id="7"/>
      <w:r>
        <w:rPr>
          <w:rFonts w:eastAsia="等线" w:ascii="Arial" w:cs="Arial" w:hAnsi="Arial"/>
          <w:b w:val="true"/>
          <w:sz w:val="30"/>
        </w:rPr>
        <w:t>（二）出圃苗木详细信息（与订购合同一致，真实可追溯）</w:t>
      </w:r>
      <w:bookmarkEnd w:id="7"/>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85"/>
        <w:gridCol w:w="1320"/>
        <w:gridCol w:w="1110"/>
        <w:gridCol w:w="885"/>
        <w:gridCol w:w="1320"/>
        <w:gridCol w:w="1110"/>
        <w:gridCol w:w="1650"/>
      </w:tblGrid>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苗木品种</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规格（胸径/高度）</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数量（株）</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苗木产地</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生长年限</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质量等级</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香樟</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胸径12-15cm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一级（树冠饱满，无病虫害）</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桂花</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胸径10-12cm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5-7年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一级（生长健壮，无病虫害）</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朴树</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胸径10-12cm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5-7年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一级（无病虫害，根系完整）</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紫樱桃</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胸径8-10cm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4-6年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一级（生长健壮，适配本地气候）</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红石榴</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胸径8-10cm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4-6年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一级（无病虫害，适应性强）</w:t>
            </w:r>
          </w:p>
        </w:tc>
      </w:tr>
      <w:tr>
        <w:tc>
          <w:tcPr>
            <w:tcW w:w="2205"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320" w:type="dxa"/>
            <w:hMerge w:val="continue"/>
            <w:tcMar>
              <w:top w:type="dxa" w:w="60"/>
              <w:left w:type="dxa" w:w="120"/>
              <w:bottom w:type="dxa" w:w="30"/>
              <w:right w:type="dxa" w:w="120"/>
            </w:tcMar>
          </w:tcPr>
          <w:p>
            <w:pPr>
              <w:spacing w:before="120" w:after="120" w:line="288" w:lineRule="auto"/>
              <w:ind w:left="0"/>
              <w:jc w:val="left"/>
            </w:pP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74株</w:t>
            </w:r>
          </w:p>
        </w:tc>
        <w:tc>
          <w:tcPr>
            <w:tcW w:w="3315"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所有苗木均符合出圃标准及绿建评价绿化质量要求</w:t>
            </w:r>
          </w:p>
        </w:tc>
        <w:tc>
          <w:tcPr>
            <w:tcW w:w="1320" w:type="dxa"/>
            <w:hMerge w:val="continue"/>
            <w:tcMar>
              <w:top w:type="dxa" w:w="60"/>
              <w:left w:type="dxa" w:w="120"/>
              <w:bottom w:type="dxa" w:w="30"/>
              <w:right w:type="dxa" w:w="120"/>
            </w:tcMar>
          </w:tcPr>
          <w:p>
            <w:pPr>
              <w:spacing w:before="120" w:after="120" w:line="288" w:lineRule="auto"/>
              <w:ind w:left="0"/>
              <w:jc w:val="left"/>
            </w:pPr>
          </w:p>
        </w:tc>
        <w:tc>
          <w:tcPr>
            <w:tcW w:w="1110" w:type="dxa"/>
            <w:hMerge w:val="continue"/>
            <w:tcMar>
              <w:top w:type="dxa" w:w="60"/>
              <w:left w:type="dxa" w:w="120"/>
              <w:bottom w:type="dxa" w:w="30"/>
              <w:right w:type="dxa" w:w="120"/>
            </w:tcMar>
          </w:tcPr>
          <w:p>
            <w:pPr>
              <w:spacing w:before="120" w:after="120" w:line="288" w:lineRule="auto"/>
              <w:ind w:left="0"/>
              <w:jc w:val="left"/>
            </w:pPr>
          </w:p>
        </w:tc>
        <w:tc>
          <w:tcPr>
            <w:tcW w:w="1650" w:type="dxa"/>
            <w:tcMar>
              <w:top w:type="dxa" w:w="60"/>
              <w:left w:type="dxa" w:w="120"/>
              <w:bottom w:type="dxa" w:w="30"/>
              <w:right w:type="dxa" w:w="120"/>
            </w:tcMar>
          </w:tcPr>
          <w:p>
            <w:pPr>
              <w:spacing w:before="120" w:after="120" w:line="288" w:lineRule="auto"/>
              <w:ind w:left="0"/>
              <w:jc w:val="left"/>
            </w:pPr>
          </w:p>
        </w:tc>
      </w:tr>
    </w:tbl>
    <w:p>
      <w:pPr>
        <w:pStyle w:val="3"/>
        <w:spacing w:before="300" w:after="120" w:line="288" w:lineRule="auto"/>
        <w:ind w:left="0"/>
        <w:jc w:val="left"/>
        <w:outlineLvl w:val="2"/>
      </w:pPr>
      <w:bookmarkStart w:name="heading_8" w:id="8"/>
      <w:r>
        <w:rPr>
          <w:rFonts w:eastAsia="等线" w:ascii="Arial" w:cs="Arial" w:hAnsi="Arial"/>
          <w:b w:val="true"/>
          <w:sz w:val="30"/>
        </w:rPr>
        <w:t>（三）证明说明（贴合绿建核查要求）</w:t>
      </w:r>
      <w:bookmarkEnd w:id="8"/>
    </w:p>
    <w:p>
      <w:pPr>
        <w:numPr>
          <w:numId w:val="24"/>
        </w:numPr>
        <w:spacing w:before="120" w:after="120" w:line="288" w:lineRule="auto"/>
        <w:ind w:left="0"/>
        <w:jc w:val="left"/>
      </w:pPr>
      <w:r>
        <w:rPr>
          <w:rFonts w:eastAsia="等线" w:ascii="Arial" w:cs="Arial" w:hAnsi="Arial"/>
          <w:sz w:val="22"/>
        </w:rPr>
        <w:t>本次出圃的74株苗木，品种、规格、数量均与驻马店博物馆植物订购合同（合同编号：ZMD-BWG-LJ-ZW-2024007）一致，真实有效，可追溯。</w:t>
      </w:r>
    </w:p>
    <w:p>
      <w:pPr>
        <w:numPr>
          <w:numId w:val="25"/>
        </w:numPr>
        <w:spacing w:before="120" w:after="120" w:line="288" w:lineRule="auto"/>
        <w:ind w:left="0"/>
        <w:jc w:val="left"/>
      </w:pPr>
      <w:r>
        <w:rPr>
          <w:rFonts w:eastAsia="等线" w:ascii="Arial" w:cs="Arial" w:hAnsi="Arial"/>
          <w:sz w:val="22"/>
        </w:rPr>
        <w:t>所有苗木均生长健壮、无病虫害、根系完整，符合《城市绿化工程施工及验收规范》CJJ/T82-2012及绿建评价“室外环境质量”指标中绿化遮阳相关要求，可满足驻马店博物馆室外活动场地遮阳需求，助力遮阳覆盖率达标。</w:t>
      </w:r>
    </w:p>
    <w:p>
      <w:pPr>
        <w:numPr>
          <w:numId w:val="26"/>
        </w:numPr>
        <w:spacing w:before="120" w:after="120" w:line="288" w:lineRule="auto"/>
        <w:ind w:left="0"/>
        <w:jc w:val="left"/>
      </w:pPr>
      <w:r>
        <w:rPr>
          <w:rFonts w:eastAsia="等线" w:ascii="Arial" w:cs="Arial" w:hAnsi="Arial"/>
          <w:sz w:val="22"/>
        </w:rPr>
        <w:t>本证明经驻马店市林业植物检疫站检疫合格，附检疫证明（编号：ZMD-LY-JY-20240325），可作为绿建评价系统核查的核心佐证材料，与订购合同、苗木验收单相互印证。</w:t>
      </w:r>
    </w:p>
    <w:p>
      <w:pPr>
        <w:numPr>
          <w:numId w:val="27"/>
        </w:numPr>
        <w:spacing w:before="120" w:after="120" w:line="288" w:lineRule="auto"/>
        <w:ind w:left="0"/>
        <w:jc w:val="left"/>
      </w:pPr>
      <w:r>
        <w:rPr>
          <w:rFonts w:eastAsia="等线" w:ascii="Arial" w:cs="Arial" w:hAnsi="Arial"/>
          <w:sz w:val="22"/>
        </w:rPr>
        <w:t>本证明真实有效，无虚假信息，若存在虚假情况，由本单位承担全部责任，配合绿建评价核查工作，可随时提供苗木种植、检疫相关佐证材料。</w:t>
      </w:r>
    </w:p>
    <w:p>
      <w:pPr>
        <w:pStyle w:val="3"/>
        <w:spacing w:before="300" w:after="120" w:line="288" w:lineRule="auto"/>
        <w:ind w:left="0"/>
        <w:jc w:val="left"/>
        <w:outlineLvl w:val="2"/>
      </w:pPr>
      <w:bookmarkStart w:name="heading_9" w:id="9"/>
      <w:r>
        <w:rPr>
          <w:rFonts w:eastAsia="等线" w:ascii="Arial" w:cs="Arial" w:hAnsi="Arial"/>
          <w:b w:val="true"/>
          <w:sz w:val="30"/>
        </w:rPr>
        <w:t>（四）出具单位签字盖章</w:t>
      </w:r>
      <w:bookmarkEnd w:id="9"/>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出具单位签字盖章：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负责人（签字）：张XX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盖章：驻马店市驿城区绿景苗木种植专业合作社</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日期：2024年3月25日</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检疫单位确认（盖章）：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检疫负责人（签字）：李XX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盖章：驻马店市林业植物检疫站</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日期：2024年3月24日</w:t>
            </w:r>
          </w:p>
        </w:tc>
      </w:tr>
    </w:tbl>
    <w:p>
      <w:pPr>
        <w:pStyle w:val="2"/>
        <w:spacing w:before="320" w:after="120" w:line="288" w:lineRule="auto"/>
        <w:ind w:left="0"/>
        <w:jc w:val="left"/>
        <w:outlineLvl w:val="1"/>
      </w:pPr>
      <w:bookmarkStart w:name="heading_10" w:id="10"/>
      <w:r>
        <w:rPr>
          <w:rFonts w:eastAsia="等线" w:ascii="Arial" w:cs="Arial" w:hAnsi="Arial"/>
          <w:b w:val="true"/>
          <w:sz w:val="32"/>
        </w:rPr>
        <w:t>三、绿建评价核查说明</w:t>
      </w:r>
      <w:bookmarkEnd w:id="10"/>
    </w:p>
    <w:p>
      <w:pPr>
        <w:numPr>
          <w:numId w:val="28"/>
        </w:numPr>
        <w:spacing w:before="120" w:after="120" w:line="288" w:lineRule="auto"/>
        <w:ind w:left="0"/>
        <w:jc w:val="left"/>
      </w:pPr>
      <w:r>
        <w:rPr>
          <w:rFonts w:eastAsia="等线" w:ascii="Arial" w:cs="Arial" w:hAnsi="Arial"/>
          <w:sz w:val="22"/>
        </w:rPr>
        <w:t>本文件包含的植物订购合同、苗木出圃证明，均为驻马店博物馆绿建评价“室外环境质量”指标核查专用，文件内容真实、数据准确，与前期遮阳覆盖率计算报告中绿化遮阳相关数据一致，可相互印证。</w:t>
      </w:r>
    </w:p>
    <w:p>
      <w:pPr>
        <w:numPr>
          <w:numId w:val="29"/>
        </w:numPr>
        <w:spacing w:before="120" w:after="120" w:line="288" w:lineRule="auto"/>
        <w:ind w:left="0"/>
        <w:jc w:val="left"/>
      </w:pPr>
      <w:r>
        <w:rPr>
          <w:rFonts w:eastAsia="等线" w:ascii="Arial" w:cs="Arial" w:hAnsi="Arial"/>
          <w:sz w:val="22"/>
        </w:rPr>
        <w:t>订购苗木品种、规格贴合驻马店本地气候特点及绿建遮阳要求，苗木质量合格，出圃流程合规，所有数据可追溯、可核验，符合绿建评价系统填报及核查要求。</w:t>
      </w:r>
    </w:p>
    <w:p>
      <w:pPr>
        <w:numPr>
          <w:numId w:val="30"/>
        </w:numPr>
        <w:spacing w:before="120" w:after="120" w:line="288" w:lineRule="auto"/>
        <w:ind w:left="0"/>
        <w:jc w:val="left"/>
      </w:pPr>
      <w:r>
        <w:rPr>
          <w:rFonts w:eastAsia="等线" w:ascii="Arial" w:cs="Arial" w:hAnsi="Arial"/>
          <w:sz w:val="22"/>
        </w:rPr>
        <w:t>本文件及相关佐证材料（苗木检疫证明、苗木验收单）均按规范归档，归档期限≥15年，可随时提供查阅，确保绿建评价核查顺利通过。</w:t>
      </w:r>
    </w:p>
    <w:p>
      <w:pPr>
        <w:numPr>
          <w:numId w:val="31"/>
        </w:numPr>
        <w:spacing w:before="120" w:after="120" w:line="288" w:lineRule="auto"/>
        <w:ind w:left="0"/>
        <w:jc w:val="left"/>
      </w:pPr>
      <w:r>
        <w:rPr>
          <w:rFonts w:eastAsia="等线" w:ascii="Arial" w:cs="Arial" w:hAnsi="Arial"/>
          <w:sz w:val="22"/>
        </w:rPr>
        <w:t>本文件中苗木相关数据（数量、规格）与驻马店博物馆室外活动场地遮阳覆盖率计算报告中绿化遮阳投影面积数据匹配，佐证绿化遮阳设施的真实性及合规性，助力绿建评价指标达标。</w:t>
      </w:r>
    </w:p>
    <w:p>
      <w:pPr>
        <w:pStyle w:val="2"/>
        <w:spacing w:before="320" w:after="120" w:line="288" w:lineRule="auto"/>
        <w:ind w:left="0"/>
        <w:jc w:val="left"/>
        <w:outlineLvl w:val="1"/>
      </w:pPr>
      <w:bookmarkStart w:name="heading_11" w:id="11"/>
      <w:r>
        <w:rPr>
          <w:rFonts w:eastAsia="等线" w:ascii="Arial" w:cs="Arial" w:hAnsi="Arial"/>
          <w:b w:val="true"/>
          <w:sz w:val="32"/>
        </w:rPr>
        <w:t>四、佐证材料清单</w:t>
      </w:r>
      <w:bookmarkEnd w:id="11"/>
    </w:p>
    <w:p>
      <w:pPr>
        <w:numPr>
          <w:numId w:val="32"/>
        </w:numPr>
        <w:spacing w:before="120" w:after="120" w:line="288" w:lineRule="auto"/>
        <w:ind w:left="0"/>
        <w:jc w:val="left"/>
      </w:pPr>
      <w:r>
        <w:rPr>
          <w:rFonts w:eastAsia="等线" w:ascii="Arial" w:cs="Arial" w:hAnsi="Arial"/>
          <w:sz w:val="22"/>
        </w:rPr>
        <w:t>驻马店博物馆植物订购合同（原件扫描件）；</w:t>
      </w:r>
    </w:p>
    <w:p>
      <w:pPr>
        <w:numPr>
          <w:numId w:val="33"/>
        </w:numPr>
        <w:spacing w:before="120" w:after="120" w:line="288" w:lineRule="auto"/>
        <w:ind w:left="0"/>
        <w:jc w:val="left"/>
      </w:pPr>
      <w:r>
        <w:rPr>
          <w:rFonts w:eastAsia="等线" w:ascii="Arial" w:cs="Arial" w:hAnsi="Arial"/>
          <w:sz w:val="22"/>
        </w:rPr>
        <w:t>苗木出圃证明（原件扫描件）；</w:t>
      </w:r>
    </w:p>
    <w:p>
      <w:pPr>
        <w:numPr>
          <w:numId w:val="34"/>
        </w:numPr>
        <w:spacing w:before="120" w:after="120" w:line="288" w:lineRule="auto"/>
        <w:ind w:left="0"/>
        <w:jc w:val="left"/>
      </w:pPr>
      <w:r>
        <w:rPr>
          <w:rFonts w:eastAsia="等线" w:ascii="Arial" w:cs="Arial" w:hAnsi="Arial"/>
          <w:sz w:val="22"/>
        </w:rPr>
        <w:t>驻马店市林业植物检疫站出具的苗木检疫证明（编号：ZMD-LY-JY-20240325）；</w:t>
      </w:r>
    </w:p>
    <w:p>
      <w:pPr>
        <w:numPr>
          <w:numId w:val="35"/>
        </w:numPr>
        <w:spacing w:before="120" w:after="120" w:line="288" w:lineRule="auto"/>
        <w:ind w:left="0"/>
        <w:jc w:val="left"/>
      </w:pPr>
      <w:r>
        <w:rPr>
          <w:rFonts w:eastAsia="等线" w:ascii="Arial" w:cs="Arial" w:hAnsi="Arial"/>
          <w:sz w:val="22"/>
        </w:rPr>
        <w:t>苗木验收单（甲方、乙方、监理单位三方签字确认）；</w:t>
      </w:r>
    </w:p>
    <w:p>
      <w:pPr>
        <w:numPr>
          <w:numId w:val="36"/>
        </w:numPr>
        <w:spacing w:before="120" w:after="120" w:line="288" w:lineRule="auto"/>
        <w:ind w:left="0"/>
        <w:jc w:val="left"/>
      </w:pPr>
      <w:r>
        <w:rPr>
          <w:rFonts w:eastAsia="等线" w:ascii="Arial" w:cs="Arial" w:hAnsi="Arial"/>
          <w:sz w:val="22"/>
        </w:rPr>
        <w:t>苗木种植现场影像资料（含苗木种植过程、生长状态）；</w:t>
      </w:r>
    </w:p>
    <w:p>
      <w:pPr>
        <w:numPr>
          <w:numId w:val="37"/>
        </w:numPr>
        <w:spacing w:before="120" w:after="120" w:line="288" w:lineRule="auto"/>
        <w:ind w:left="0"/>
        <w:jc w:val="left"/>
      </w:pPr>
      <w:r>
        <w:rPr>
          <w:rFonts w:eastAsia="等线" w:ascii="Arial" w:cs="Arial" w:hAnsi="Arial"/>
          <w:sz w:val="22"/>
        </w:rPr>
        <w:t>关联文档：驻马店博物馆绿建评价室外平均迎风面积比及活动场地遮阳覆盖率计算报告、绿建评价综合报告。</w:t>
      </w:r>
    </w:p>
    <w:p>
      <w:pPr>
        <w:spacing w:before="120" w:after="120" w:line="288" w:lineRule="auto"/>
        <w:ind w:left="0"/>
        <w:jc w:val="left"/>
      </w:pPr>
      <w:r>
        <w:rPr>
          <w:rFonts w:eastAsia="等线" w:ascii="Arial" w:cs="Arial" w:hAnsi="Arial"/>
          <w:sz w:val="22"/>
        </w:rPr>
        <w:t>备注：1. 本文件一式6份，建设单位、供货单位、检疫单位、绿建评价验收单位、档案管理单位、质量监督单位各留存1份，归档期限≥15年；2. 本文件自签字盖章之日起生效，具有相应法律效力，可作为绿建评价系统核查的核心佐证材料；3. 本文件对应所有佐证材料与本文件具有同等法律效力，一并作为绿建评价核查依据；4. 本文件数据仅适用于驻马店博物馆绿建评价使用，不得用于其他用途。</w:t>
      </w:r>
    </w:p>
    <w:p>
      <w:pPr>
        <w:spacing w:before="120" w:after="120" w:line="288" w:lineRule="auto"/>
        <w:ind w:left="0"/>
        <w:jc w:val="left"/>
      </w:pPr>
      <w:r>
        <w:rPr>
          <w:rFonts w:eastAsia="等线" w:ascii="Arial" w:cs="Arial" w:hAnsi="Arial"/>
          <w:sz w:val="22"/>
        </w:rPr>
        <w:t>superscript:1] 参考驻马店本地花卉市场苗木销售品类及行情，选用香樟、紫樱桃、红石榴等本地常见苗木，贴合实际采购场景。</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9237974">
    <w:lvl>
      <w:start w:val="1"/>
      <w:numFmt w:val="decimal"/>
      <w:suff w:val="tab"/>
      <w:lvlText w:val="%1."/>
      <w:rPr>
        <w:color w:val="3370ff"/>
      </w:rPr>
    </w:lvl>
  </w:abstractNum>
  <w:abstractNum w:abstractNumId="9237975">
    <w:lvl>
      <w:start w:val="2"/>
      <w:numFmt w:val="decimal"/>
      <w:suff w:val="tab"/>
      <w:lvlText w:val="%1."/>
      <w:rPr>
        <w:color w:val="3370ff"/>
      </w:rPr>
    </w:lvl>
  </w:abstractNum>
  <w:abstractNum w:abstractNumId="9237976">
    <w:lvl>
      <w:start w:val="3"/>
      <w:numFmt w:val="decimal"/>
      <w:suff w:val="tab"/>
      <w:lvlText w:val="%1."/>
      <w:rPr>
        <w:color w:val="3370ff"/>
      </w:rPr>
    </w:lvl>
  </w:abstractNum>
  <w:abstractNum w:abstractNumId="9237977">
    <w:lvl>
      <w:start w:val="4"/>
      <w:numFmt w:val="decimal"/>
      <w:suff w:val="tab"/>
      <w:lvlText w:val="%1."/>
      <w:rPr>
        <w:color w:val="3370ff"/>
      </w:rPr>
    </w:lvl>
  </w:abstractNum>
  <w:abstractNum w:abstractNumId="9237978">
    <w:lvl>
      <w:start w:val="5"/>
      <w:numFmt w:val="decimal"/>
      <w:suff w:val="tab"/>
      <w:lvlText w:val="%1."/>
      <w:rPr>
        <w:color w:val="3370ff"/>
      </w:rPr>
    </w:lvl>
  </w:abstractNum>
  <w:abstractNum w:abstractNumId="9237979">
    <w:lvl>
      <w:start w:val="6"/>
      <w:numFmt w:val="decimal"/>
      <w:suff w:val="tab"/>
      <w:lvlText w:val="%1."/>
      <w:rPr>
        <w:color w:val="3370ff"/>
      </w:rPr>
    </w:lvl>
  </w:abstractNum>
  <w:abstractNum w:abstractNumId="9237980">
    <w:lvl>
      <w:start w:val="7"/>
      <w:numFmt w:val="decimal"/>
      <w:suff w:val="tab"/>
      <w:lvlText w:val="%1."/>
      <w:rPr>
        <w:color w:val="3370ff"/>
      </w:rPr>
    </w:lvl>
  </w:abstractNum>
  <w:abstractNum w:abstractNumId="9237981">
    <w:lvl>
      <w:start w:val="8"/>
      <w:numFmt w:val="decimal"/>
      <w:suff w:val="tab"/>
      <w:lvlText w:val="%1."/>
      <w:rPr>
        <w:color w:val="3370ff"/>
      </w:rPr>
    </w:lvl>
  </w:abstractNum>
  <w:abstractNum w:abstractNumId="9237982">
    <w:lvl>
      <w:start w:val="9"/>
      <w:numFmt w:val="decimal"/>
      <w:suff w:val="tab"/>
      <w:lvlText w:val="%1."/>
      <w:rPr>
        <w:color w:val="3370ff"/>
      </w:rPr>
    </w:lvl>
  </w:abstractNum>
  <w:abstractNum w:abstractNumId="9237983">
    <w:lvl>
      <w:start w:val="10"/>
      <w:numFmt w:val="decimal"/>
      <w:suff w:val="tab"/>
      <w:lvlText w:val="%1."/>
      <w:rPr>
        <w:color w:val="3370ff"/>
      </w:rPr>
    </w:lvl>
  </w:abstractNum>
  <w:abstractNum w:abstractNumId="9237984">
    <w:lvl>
      <w:start w:val="11"/>
      <w:numFmt w:val="decimal"/>
      <w:suff w:val="tab"/>
      <w:lvlText w:val="%1."/>
      <w:rPr>
        <w:color w:val="3370ff"/>
      </w:rPr>
    </w:lvl>
  </w:abstractNum>
  <w:abstractNum w:abstractNumId="9237985">
    <w:lvl>
      <w:start w:val="1"/>
      <w:numFmt w:val="decimal"/>
      <w:suff w:val="tab"/>
      <w:lvlText w:val="%1."/>
      <w:rPr>
        <w:color w:val="3370ff"/>
      </w:rPr>
    </w:lvl>
  </w:abstractNum>
  <w:abstractNum w:abstractNumId="9237986">
    <w:lvl>
      <w:start w:val="2"/>
      <w:numFmt w:val="decimal"/>
      <w:suff w:val="tab"/>
      <w:lvlText w:val="%1."/>
      <w:rPr>
        <w:color w:val="3370ff"/>
      </w:rPr>
    </w:lvl>
  </w:abstractNum>
  <w:abstractNum w:abstractNumId="9237987">
    <w:lvl>
      <w:start w:val="3"/>
      <w:numFmt w:val="decimal"/>
      <w:suff w:val="tab"/>
      <w:lvlText w:val="%1."/>
      <w:rPr>
        <w:color w:val="3370ff"/>
      </w:rPr>
    </w:lvl>
  </w:abstractNum>
  <w:abstractNum w:abstractNumId="9237988">
    <w:lvl>
      <w:start w:val="4"/>
      <w:numFmt w:val="decimal"/>
      <w:suff w:val="tab"/>
      <w:lvlText w:val="%1."/>
      <w:rPr>
        <w:color w:val="3370ff"/>
      </w:rPr>
    </w:lvl>
  </w:abstractNum>
  <w:abstractNum w:abstractNumId="9237989">
    <w:lvl>
      <w:start w:val="5"/>
      <w:numFmt w:val="decimal"/>
      <w:suff w:val="tab"/>
      <w:lvlText w:val="%1."/>
      <w:rPr>
        <w:color w:val="3370ff"/>
      </w:rPr>
    </w:lvl>
  </w:abstractNum>
  <w:abstractNum w:abstractNumId="9237990">
    <w:lvl>
      <w:start w:val="1"/>
      <w:numFmt w:val="decimal"/>
      <w:suff w:val="tab"/>
      <w:lvlText w:val="%1."/>
      <w:rPr>
        <w:color w:val="3370ff"/>
      </w:rPr>
    </w:lvl>
  </w:abstractNum>
  <w:abstractNum w:abstractNumId="9237991">
    <w:lvl>
      <w:start w:val="2"/>
      <w:numFmt w:val="decimal"/>
      <w:suff w:val="tab"/>
      <w:lvlText w:val="%1."/>
      <w:rPr>
        <w:color w:val="3370ff"/>
      </w:rPr>
    </w:lvl>
  </w:abstractNum>
  <w:abstractNum w:abstractNumId="9237992">
    <w:lvl>
      <w:start w:val="3"/>
      <w:numFmt w:val="decimal"/>
      <w:suff w:val="tab"/>
      <w:lvlText w:val="%1."/>
      <w:rPr>
        <w:color w:val="3370ff"/>
      </w:rPr>
    </w:lvl>
  </w:abstractNum>
  <w:abstractNum w:abstractNumId="9237993">
    <w:lvl>
      <w:start w:val="4"/>
      <w:numFmt w:val="decimal"/>
      <w:suff w:val="tab"/>
      <w:lvlText w:val="%1."/>
      <w:rPr>
        <w:color w:val="3370ff"/>
      </w:rPr>
    </w:lvl>
  </w:abstractNum>
  <w:abstractNum w:abstractNumId="9237994">
    <w:lvl>
      <w:start w:val="5"/>
      <w:numFmt w:val="decimal"/>
      <w:suff w:val="tab"/>
      <w:lvlText w:val="%1."/>
      <w:rPr>
        <w:color w:val="3370ff"/>
      </w:rPr>
    </w:lvl>
  </w:abstractNum>
  <w:abstractNum w:abstractNumId="9237995">
    <w:lvl>
      <w:start w:val="6"/>
      <w:numFmt w:val="decimal"/>
      <w:suff w:val="tab"/>
      <w:lvlText w:val="%1."/>
      <w:rPr>
        <w:color w:val="3370ff"/>
      </w:rPr>
    </w:lvl>
  </w:abstractNum>
  <w:abstractNum w:abstractNumId="9237996">
    <w:lvl>
      <w:start w:val="7"/>
      <w:numFmt w:val="decimal"/>
      <w:suff w:val="tab"/>
      <w:lvlText w:val="%1."/>
      <w:rPr>
        <w:color w:val="3370ff"/>
      </w:rPr>
    </w:lvl>
  </w:abstractNum>
  <w:abstractNum w:abstractNumId="9237997">
    <w:lvl>
      <w:start w:val="1"/>
      <w:numFmt w:val="decimal"/>
      <w:suff w:val="tab"/>
      <w:lvlText w:val="%1."/>
      <w:rPr>
        <w:color w:val="3370ff"/>
      </w:rPr>
    </w:lvl>
  </w:abstractNum>
  <w:abstractNum w:abstractNumId="9237998">
    <w:lvl>
      <w:start w:val="2"/>
      <w:numFmt w:val="decimal"/>
      <w:suff w:val="tab"/>
      <w:lvlText w:val="%1."/>
      <w:rPr>
        <w:color w:val="3370ff"/>
      </w:rPr>
    </w:lvl>
  </w:abstractNum>
  <w:abstractNum w:abstractNumId="9237999">
    <w:lvl>
      <w:start w:val="3"/>
      <w:numFmt w:val="decimal"/>
      <w:suff w:val="tab"/>
      <w:lvlText w:val="%1."/>
      <w:rPr>
        <w:color w:val="3370ff"/>
      </w:rPr>
    </w:lvl>
  </w:abstractNum>
  <w:abstractNum w:abstractNumId="9238000">
    <w:lvl>
      <w:start w:val="4"/>
      <w:numFmt w:val="decimal"/>
      <w:suff w:val="tab"/>
      <w:lvlText w:val="%1."/>
      <w:rPr>
        <w:color w:val="3370ff"/>
      </w:rPr>
    </w:lvl>
  </w:abstractNum>
  <w:abstractNum w:abstractNumId="9238001">
    <w:lvl>
      <w:start w:val="1"/>
      <w:numFmt w:val="decimal"/>
      <w:suff w:val="tab"/>
      <w:lvlText w:val="%1."/>
      <w:rPr>
        <w:color w:val="3370ff"/>
      </w:rPr>
    </w:lvl>
  </w:abstractNum>
  <w:abstractNum w:abstractNumId="9238002">
    <w:lvl>
      <w:start w:val="2"/>
      <w:numFmt w:val="decimal"/>
      <w:suff w:val="tab"/>
      <w:lvlText w:val="%1."/>
      <w:rPr>
        <w:color w:val="3370ff"/>
      </w:rPr>
    </w:lvl>
  </w:abstractNum>
  <w:abstractNum w:abstractNumId="9238003">
    <w:lvl>
      <w:start w:val="3"/>
      <w:numFmt w:val="decimal"/>
      <w:suff w:val="tab"/>
      <w:lvlText w:val="%1."/>
      <w:rPr>
        <w:color w:val="3370ff"/>
      </w:rPr>
    </w:lvl>
  </w:abstractNum>
  <w:abstractNum w:abstractNumId="9238004">
    <w:lvl>
      <w:start w:val="4"/>
      <w:numFmt w:val="decimal"/>
      <w:suff w:val="tab"/>
      <w:lvlText w:val="%1."/>
      <w:rPr>
        <w:color w:val="3370ff"/>
      </w:rPr>
    </w:lvl>
  </w:abstractNum>
  <w:abstractNum w:abstractNumId="9238005">
    <w:lvl>
      <w:start w:val="1"/>
      <w:numFmt w:val="decimal"/>
      <w:suff w:val="tab"/>
      <w:lvlText w:val="%1."/>
      <w:rPr>
        <w:color w:val="3370ff"/>
      </w:rPr>
    </w:lvl>
  </w:abstractNum>
  <w:abstractNum w:abstractNumId="9238006">
    <w:lvl>
      <w:start w:val="2"/>
      <w:numFmt w:val="decimal"/>
      <w:suff w:val="tab"/>
      <w:lvlText w:val="%1."/>
      <w:rPr>
        <w:color w:val="3370ff"/>
      </w:rPr>
    </w:lvl>
  </w:abstractNum>
  <w:abstractNum w:abstractNumId="9238007">
    <w:lvl>
      <w:start w:val="3"/>
      <w:numFmt w:val="decimal"/>
      <w:suff w:val="tab"/>
      <w:lvlText w:val="%1."/>
      <w:rPr>
        <w:color w:val="3370ff"/>
      </w:rPr>
    </w:lvl>
  </w:abstractNum>
  <w:abstractNum w:abstractNumId="9238008">
    <w:lvl>
      <w:start w:val="4"/>
      <w:numFmt w:val="decimal"/>
      <w:suff w:val="tab"/>
      <w:lvlText w:val="%1."/>
      <w:rPr>
        <w:color w:val="3370ff"/>
      </w:rPr>
    </w:lvl>
  </w:abstractNum>
  <w:abstractNum w:abstractNumId="9238009">
    <w:lvl>
      <w:start w:val="5"/>
      <w:numFmt w:val="decimal"/>
      <w:suff w:val="tab"/>
      <w:lvlText w:val="%1."/>
      <w:rPr>
        <w:color w:val="3370ff"/>
      </w:rPr>
    </w:lvl>
  </w:abstractNum>
  <w:abstractNum w:abstractNumId="9238010">
    <w:lvl>
      <w:start w:val="6"/>
      <w:numFmt w:val="decimal"/>
      <w:suff w:val="tab"/>
      <w:lvlText w:val="%1."/>
      <w:rPr>
        <w:color w:val="3370ff"/>
      </w:rPr>
    </w:lvl>
  </w:abstractNum>
  <w:num w:numId="1">
    <w:abstractNumId w:val="9237974"/>
  </w:num>
  <w:num w:numId="2">
    <w:abstractNumId w:val="9237975"/>
  </w:num>
  <w:num w:numId="3">
    <w:abstractNumId w:val="9237976"/>
  </w:num>
  <w:num w:numId="4">
    <w:abstractNumId w:val="9237977"/>
  </w:num>
  <w:num w:numId="5">
    <w:abstractNumId w:val="9237978"/>
  </w:num>
  <w:num w:numId="6">
    <w:abstractNumId w:val="9237979"/>
  </w:num>
  <w:num w:numId="7">
    <w:abstractNumId w:val="9237980"/>
  </w:num>
  <w:num w:numId="8">
    <w:abstractNumId w:val="9237981"/>
  </w:num>
  <w:num w:numId="9">
    <w:abstractNumId w:val="9237982"/>
  </w:num>
  <w:num w:numId="10">
    <w:abstractNumId w:val="9237983"/>
  </w:num>
  <w:num w:numId="11">
    <w:abstractNumId w:val="9237984"/>
  </w:num>
  <w:num w:numId="12">
    <w:abstractNumId w:val="9237985"/>
  </w:num>
  <w:num w:numId="13">
    <w:abstractNumId w:val="9237986"/>
  </w:num>
  <w:num w:numId="14">
    <w:abstractNumId w:val="9237987"/>
  </w:num>
  <w:num w:numId="15">
    <w:abstractNumId w:val="9237988"/>
  </w:num>
  <w:num w:numId="16">
    <w:abstractNumId w:val="9237989"/>
  </w:num>
  <w:num w:numId="17">
    <w:abstractNumId w:val="9237990"/>
  </w:num>
  <w:num w:numId="18">
    <w:abstractNumId w:val="9237991"/>
  </w:num>
  <w:num w:numId="19">
    <w:abstractNumId w:val="9237992"/>
  </w:num>
  <w:num w:numId="20">
    <w:abstractNumId w:val="9237993"/>
  </w:num>
  <w:num w:numId="21">
    <w:abstractNumId w:val="9237994"/>
  </w:num>
  <w:num w:numId="22">
    <w:abstractNumId w:val="9237995"/>
  </w:num>
  <w:num w:numId="23">
    <w:abstractNumId w:val="9237996"/>
  </w:num>
  <w:num w:numId="24">
    <w:abstractNumId w:val="9237997"/>
  </w:num>
  <w:num w:numId="25">
    <w:abstractNumId w:val="9237998"/>
  </w:num>
  <w:num w:numId="26">
    <w:abstractNumId w:val="9237999"/>
  </w:num>
  <w:num w:numId="27">
    <w:abstractNumId w:val="9238000"/>
  </w:num>
  <w:num w:numId="28">
    <w:abstractNumId w:val="9238001"/>
  </w:num>
  <w:num w:numId="29">
    <w:abstractNumId w:val="9238002"/>
  </w:num>
  <w:num w:numId="30">
    <w:abstractNumId w:val="9238003"/>
  </w:num>
  <w:num w:numId="31">
    <w:abstractNumId w:val="9238004"/>
  </w:num>
  <w:num w:numId="32">
    <w:abstractNumId w:val="9238005"/>
  </w:num>
  <w:num w:numId="33">
    <w:abstractNumId w:val="9238006"/>
  </w:num>
  <w:num w:numId="34">
    <w:abstractNumId w:val="9238007"/>
  </w:num>
  <w:num w:numId="35">
    <w:abstractNumId w:val="9238008"/>
  </w:num>
  <w:num w:numId="36">
    <w:abstractNumId w:val="9238009"/>
  </w:num>
  <w:num w:numId="37">
    <w:abstractNumId w:val="9238010"/>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2026-03-28T05:51:26Z</dcterms:created>
  <dc:creator>Apache POI</dc:creator>
</cp:coreProperties>
</file>