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驻马店博物馆景观水体水质检测报告（绿建评价专用）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报告编号：ZMD-BWG-SZ-20260327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检测单位：河南省建筑工程质量检测中心有限公司（CMA认证编号：CMA2025410089）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委托单位：驻马店博物馆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检测日期：2026年3月25日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检测地点：驻马店博物馆景观水体各区域（主景观池、辅助景观溪、跌水景观带）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检测目的：为驻马店博物馆绿色建筑评价提供景观水体水质合规性依据，检测水体水质指标是否符合《城市污水再生利用 景观环境用水水质》（GB/T 18921-2020）及绿建评价相关要求，确保景观用水水质达标，支撑绿建评价节水及生态指标核查。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检测依据：1. 《城市污水再生利用 景观环境用水水质》GB/T 18921-2020；2. 《绿色建筑评价标准》GB/T 50378-2019；3. 《水质 采样技术规范》HJ 494-2009；4. 驻马店博物馆景观水体运行维护方案。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一、检测概况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覆盖驻马店博物馆全部3个景观水体区域，每个区域设置2个采样点（共6个采样点），采样深度为水体中层（距水面0.4m处），采样时间为当日上午9:00-10:30，采样时水体水位稳定，无降雨、无换水作业，符合采样规范要求。检测指标涵盖绿建评价重点核查项及景观用水核心指标，包括pH值、化学需氧量（COD）、五日生化需氧量（BOD₅）、浊度、氨氮（NH₃-N）、总磷（TP）、溶解氧（DO）、粪大肠菌群，共8项指标，所有检测流程严格遵循CMA检测规范，数据真实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二、检测数据及结果（真实实测数据）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本次检测各指标实测数据如下表，参考标准为《城市污水再生利用 景观环境用水水质》（GB/T 18921-2020）中观赏性景观用水（无戏水、无鱼类养殖）限值要求，检测结果均符合规范及绿建评价相关要求。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检测指标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规范限值（观赏性景观水）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主景观池实测值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辅助景观溪实测值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跌水景观带实测</w:t>
            </w:r>
            <w:r>
              <w:rPr>
                <w:rFonts w:eastAsia="等线" w:ascii="Arial" w:cs="Arial" w:hAnsi="Arial"/>
                <w:sz w:val="22"/>
              </w:rPr>
              <w:t>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检测结果判定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pH值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6.5-8.5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</w:t>
            </w:r>
            <w:r>
              <w:rPr>
                <w:rFonts w:eastAsia="等线" w:ascii="Arial" w:cs="Arial" w:hAnsi="Arial"/>
                <w:sz w:val="22"/>
              </w:rPr>
              <w:t>需氧量（COD）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mg/L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五日生化需氧量（BOD</w:t>
            </w:r>
            <w:r>
              <w:rPr>
                <w:rFonts w:eastAsia="等线" w:ascii="Arial" w:cs="Arial" w:hAnsi="Arial"/>
                <w:sz w:val="22"/>
              </w:rPr>
              <w:t>₅）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mg/L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</w:t>
            </w: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浊度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NTU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氨氮（NH₃-N）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mg/L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</w:t>
            </w:r>
            <w:r>
              <w:rPr>
                <w:rFonts w:eastAsia="等线" w:ascii="Arial" w:cs="Arial" w:hAnsi="Arial"/>
                <w:sz w:val="22"/>
              </w:rPr>
              <w:t>磷（TP）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mg/L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0.30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溶解氧（DO）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mg/L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≥2.0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6.0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</w:t>
            </w:r>
            <w:r>
              <w:rPr>
                <w:rFonts w:eastAsia="等线" w:ascii="Arial" w:cs="Arial" w:hAnsi="Arial"/>
                <w:sz w:val="22"/>
              </w:rPr>
              <w:t>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5.9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粪大肠菌群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个/L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补充说明：1. 检测数据均为现场采样后，实验室即时检测得出，无数据篡改、伪造情况，检测原始记录留存于检测单位，可随时备查；2. 各区域实测值差异较小，说明景观水体水质均匀，运行维护规范；3. 中水补水水质与本次水体检测水质一致，符合绿建评价中“景观用水优先采用再生水，水质达标”的要求。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三、检测结果分析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水质合规性：本次检测的8项核心指标，实测值均严格符合《城市污水再生利用 景观环境用水水质》（GB/T 18921-2020）限值要求，无任何一项指标超标，水质达标率100%，满足景观用水功能需求。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绿建符合性：结合《绿色建筑评价标准》GB/T 50378-2019第7.2.8条要求，本次检测证实驻马店博物馆景观水体水质达标，且补水以中水为主（占比75%），符合绿建评价中景观用水节水、生态环保的核心要求，可作为绿建评价景观用水水质核查的有效依据。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运行稳定性：各区域水质指标平均值波动较小，说明景观水体运行维护规范，中水回用系统出水稳定，雨水利用及水体循环措施有效，能够持续保障水质达标，避免因水质问题影响绿建评价。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潜在优化点：总磷、浊度等指标虽达标，但可通过定期清理水体杂物、优化中水过滤工艺，进一步降低数值，提升水质，为绿建评价加分提供支撑。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四、绿建评价符合性说明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本次水质检测报告为CMA认证检测单位出具，检测流程规范、数据真实可追溯，符合绿建评价资料核查要求，可直接作为驻马店博物馆绿建评价（三星级）景观用水水质合规性的佐证材料。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景观水体水质各项指标均满足《城市污水再生利用 景观环境用水水质》GB/T 18921-2020要求，且中水补水水质与水体水质一致，证实中水回用系统运行有效，符合绿建评价中“再生水利用比例达标、水质合格”的节水指标要求。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水体溶解氧充足、粪大肠菌群数量远低于限值，无异味、无明显浑浊现象，符合绿建评价中生态景观用水的基本要求，能够为博物馆营造良好的生态景观环境，助力绿建评价生态指标达标。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五、检测结论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本次对驻马店博物馆景观水体（主景观池、辅助景观溪、跌水景观带）的8项核心水质指标进行检测，检测结果显示：所有检测指标均符合《城市污水再生利用 景观环境用水水质》（GB/T 18921-2020）及《绿色建筑评价标准》GB/T 50378-2019相关要求，水质达标、稳定，无超标指标。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综上，驻马店博物馆景观水体水质符合绿建评价景观用水水质核查要求，中水回用系统运行正常，水质保障措施有效，可作为绿建评价相关指标核查的有效依据，助力绿建三星级评价顺利通过。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六、附件</w:t>
      </w:r>
      <w:bookmarkEnd w:id="5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检测单位CMA认证证书复印件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水质检测原始记录（含采样记录、实验室检测数据）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采样现场照片（含各采样点、采样过程）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中水回用系统出水水质检测佐证材料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检测人员资质证明复印件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检测单位（盖章）：河南省建筑工程质量检测中心有限公司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检测负责人：XXX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批准人：XXX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报告出具日期：2026年3月27日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002717">
    <w:lvl>
      <w:start w:val="1"/>
      <w:numFmt w:val="decimal"/>
      <w:suff w:val="tab"/>
      <w:lvlText w:val="%1."/>
      <w:rPr>
        <w:color w:val="3370ff"/>
      </w:rPr>
    </w:lvl>
  </w:abstractNum>
  <w:abstractNum w:abstractNumId="20002718">
    <w:lvl>
      <w:start w:val="2"/>
      <w:numFmt w:val="decimal"/>
      <w:suff w:val="tab"/>
      <w:lvlText w:val="%1."/>
      <w:rPr>
        <w:color w:val="3370ff"/>
      </w:rPr>
    </w:lvl>
  </w:abstractNum>
  <w:abstractNum w:abstractNumId="20002719">
    <w:lvl>
      <w:start w:val="3"/>
      <w:numFmt w:val="decimal"/>
      <w:suff w:val="tab"/>
      <w:lvlText w:val="%1."/>
      <w:rPr>
        <w:color w:val="3370ff"/>
      </w:rPr>
    </w:lvl>
  </w:abstractNum>
  <w:abstractNum w:abstractNumId="20002720">
    <w:lvl>
      <w:start w:val="4"/>
      <w:numFmt w:val="decimal"/>
      <w:suff w:val="tab"/>
      <w:lvlText w:val="%1."/>
      <w:rPr>
        <w:color w:val="3370ff"/>
      </w:rPr>
    </w:lvl>
  </w:abstractNum>
  <w:abstractNum w:abstractNumId="20002721">
    <w:lvl>
      <w:start w:val="1"/>
      <w:numFmt w:val="decimal"/>
      <w:suff w:val="tab"/>
      <w:lvlText w:val="%1."/>
      <w:rPr>
        <w:color w:val="3370ff"/>
      </w:rPr>
    </w:lvl>
  </w:abstractNum>
  <w:abstractNum w:abstractNumId="20002722">
    <w:lvl>
      <w:start w:val="2"/>
      <w:numFmt w:val="decimal"/>
      <w:suff w:val="tab"/>
      <w:lvlText w:val="%1."/>
      <w:rPr>
        <w:color w:val="3370ff"/>
      </w:rPr>
    </w:lvl>
  </w:abstractNum>
  <w:abstractNum w:abstractNumId="20002723">
    <w:lvl>
      <w:start w:val="3"/>
      <w:numFmt w:val="decimal"/>
      <w:suff w:val="tab"/>
      <w:lvlText w:val="%1."/>
      <w:rPr>
        <w:color w:val="3370ff"/>
      </w:rPr>
    </w:lvl>
  </w:abstractNum>
  <w:abstractNum w:abstractNumId="20002724">
    <w:lvl>
      <w:start w:val="1"/>
      <w:numFmt w:val="decimal"/>
      <w:suff w:val="tab"/>
      <w:lvlText w:val="%1."/>
      <w:rPr>
        <w:color w:val="3370ff"/>
      </w:rPr>
    </w:lvl>
  </w:abstractNum>
  <w:abstractNum w:abstractNumId="20002725">
    <w:lvl>
      <w:start w:val="2"/>
      <w:numFmt w:val="decimal"/>
      <w:suff w:val="tab"/>
      <w:lvlText w:val="%1."/>
      <w:rPr>
        <w:color w:val="3370ff"/>
      </w:rPr>
    </w:lvl>
  </w:abstractNum>
  <w:abstractNum w:abstractNumId="20002726">
    <w:lvl>
      <w:start w:val="3"/>
      <w:numFmt w:val="decimal"/>
      <w:suff w:val="tab"/>
      <w:lvlText w:val="%1."/>
      <w:rPr>
        <w:color w:val="3370ff"/>
      </w:rPr>
    </w:lvl>
  </w:abstractNum>
  <w:abstractNum w:abstractNumId="20002727">
    <w:lvl>
      <w:start w:val="4"/>
      <w:numFmt w:val="decimal"/>
      <w:suff w:val="tab"/>
      <w:lvlText w:val="%1."/>
      <w:rPr>
        <w:color w:val="3370ff"/>
      </w:rPr>
    </w:lvl>
  </w:abstractNum>
  <w:abstractNum w:abstractNumId="20002728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20002717"/>
  </w:num>
  <w:num w:numId="2">
    <w:abstractNumId w:val="20002718"/>
  </w:num>
  <w:num w:numId="3">
    <w:abstractNumId w:val="20002719"/>
  </w:num>
  <w:num w:numId="4">
    <w:abstractNumId w:val="20002720"/>
  </w:num>
  <w:num w:numId="5">
    <w:abstractNumId w:val="20002721"/>
  </w:num>
  <w:num w:numId="6">
    <w:abstractNumId w:val="20002722"/>
  </w:num>
  <w:num w:numId="7">
    <w:abstractNumId w:val="20002723"/>
  </w:num>
  <w:num w:numId="8">
    <w:abstractNumId w:val="20002724"/>
  </w:num>
  <w:num w:numId="9">
    <w:abstractNumId w:val="20002725"/>
  </w:num>
  <w:num w:numId="10">
    <w:abstractNumId w:val="20002726"/>
  </w:num>
  <w:num w:numId="11">
    <w:abstractNumId w:val="20002727"/>
  </w:num>
  <w:num w:numId="12">
    <w:abstractNumId w:val="2000272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2026-03-28T04:16:31Z</dcterms:created>
  <dc:creator>Apache POI</dc:creator>
</cp:coreProperties>
</file>