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bookmarkStart w:id="20" w:name="_GoBack"/>
      <w:bookmarkEnd w:id="20"/>
      <w:r>
        <w:rPr>
          <w:rFonts w:ascii="Arial" w:hAnsi="Arial" w:eastAsia="等线" w:cs="Arial"/>
          <w:b/>
          <w:sz w:val="52"/>
        </w:rPr>
        <w:t>水资源利用方案报告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：LS-SZ-2026-012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 年 03 月 24 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项目概况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政策及环境分析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用水量估算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节水策略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给排水系统设计方案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非传统水源利用方案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水量平衡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绿建节水条款符合性判定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签字确认页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项目概况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</w:t>
      </w:r>
      <w:r>
        <w:rPr>
          <w:rFonts w:ascii="Arial" w:hAnsi="Arial" w:eastAsia="等线" w:cs="Arial"/>
          <w:b/>
          <w:sz w:val="22"/>
        </w:rPr>
        <w:t>辰光溯昔—基于豫南地区生态的博物馆绿色建筑设计</w:t>
      </w:r>
      <w:r>
        <w:rPr>
          <w:rFonts w:ascii="Arial" w:hAnsi="Arial" w:eastAsia="等线" w:cs="Arial"/>
          <w:sz w:val="22"/>
        </w:rPr>
        <w:t>，属于豫南地区标志性公共文化建筑，聚焦生态环保与绿色低碳理念，打造集展览、科普、办公、休闲于一体的综合性博物馆。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地上3层，无地下层，建筑高度15.3m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功能分区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展厅区、办公管理区、公共卫生间、设备机房、景观绿化区、后勤服务区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水源类型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市政自来水、屋面雨水回收利用（非传统水源）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本方案严格遵循绿色建筑评价系统要求，统筹各类水资源利用，落实用水计量、减压管控、节水器具选型三大核心条款，所有数据均结合项目实际测算，符合现行国家及地方节水规范。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2 政策及环境分析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2.1 政策要求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项目严格执行河南省及驻马店市城市供水、节约用水管理相关规定，遵照《绿色建筑评价标准》GB/T 50378-2019、《节水型产品通用技术条件》GB/T 18870-2002、《民用建筑节水设计标准》GB 50555-2010等规范要求：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按使用用途、管理单元配齐用水计量器具，实现分类、分户精准计量，强化用水全过程管控；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推广使用节水型设备、器具，严禁采用国家明令淘汰的用水产品，新建项目同步配套节水设施；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采取循环用水、雨水回用等节水措施，降低市政自来水消耗量，提升水资源重复利用率；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严控管网水压，超压配水支管设置减压设施，杜绝管网漏损、器具超压出水等浪费问题；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建立完善运维台账，定期检修用水设备、器具，及时处理漏水、故障问题，保障节水系统长效运行。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2.2 水资源状况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马店市地处豫南地区，跨淮河、长江两大流域，本地水资源总量相对有限，过境水资源较为丰富，城区供水主要依赖市政地表水水厂，地下水仅作为应急备用水源。根据驻马店市水资源公报数据，全市多年平均水资源总量约34亿m³，人均水资源量低于全国平均水平，公共建筑节水管控、非传统水源利用为城市节水重点工作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本项目用地位于驿城区核心片区，市政供水管网覆盖完善，供水压力稳定、水质达标；项目周边无优质地下水可开采，景观、绿化用水优先采用雨水回收净化水，减少市政新水消耗，契合区域节水管控导向。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2.3 气象资料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驻马店市属</w:t>
      </w:r>
      <w:r>
        <w:rPr>
          <w:rFonts w:ascii="Arial" w:hAnsi="Arial" w:eastAsia="等线" w:cs="Arial"/>
          <w:b/>
          <w:sz w:val="22"/>
        </w:rPr>
        <w:t>北亚热带向暖温带过渡的季风性湿润气候</w:t>
      </w:r>
      <w:r>
        <w:rPr>
          <w:rFonts w:ascii="Arial" w:hAnsi="Arial" w:eastAsia="等线" w:cs="Arial"/>
          <w:sz w:val="22"/>
        </w:rPr>
        <w:t>，四季分明，雨热同期，降水集中在夏季，气候特征适配雨水回收利用系统运行。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降雨量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51.3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69.7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92.5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146.2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降雨量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201.4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178.3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52.1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18.9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多年平均降雨量：987.1mm，雨季（6-9月）降水量占全年70%以上，一年一遇小时降雨量：42.3mm，适合屋面雨水收集、净化及回用。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1996-2025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71.5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124.6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156.8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172.3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1996-2025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181.2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132.7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58.6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3 用水量估算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用水定额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本项目平均日生活用水、杂用水节水定额严格参照《民用建筑节水设计标准》GB 50555-2010及河南省公共建筑节水定额取值，结合博物馆客流、运营特点确定如下：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建筑类型及卫生器具设置标准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节水用水定额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本项目取值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博物馆展厅（访客用水）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 L/人·次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日均客流按800人次计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办公管理人员用水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 L/人·d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管理人员按40人计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绿化面积12600㎡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道路浇洒用水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 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道路面积4800㎡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设备冷却用水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循环补水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3% 循环补水量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循环水量80m³/d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未预见用水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10% 总用水量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含管网漏损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用水量估算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访客用水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人·次/d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展厅日均接待量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办公人员用水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人/d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固定管理人员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项目景观绿化面积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道路浇洒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场内道路面积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设备冷却循环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m³/d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循环冷却水总量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用水定额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日用水量（m³）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年用水量（m³）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访客生活用水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人·次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年运营365d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办公生活用水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年运营365d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5544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年灌溉220d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道路浇洒用水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年浇洒220d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设备冷却补水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3%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补水量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全年运行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未预见用水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10%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含管网漏损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总用水量合计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66.88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19243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4 节水策略</w:t>
      </w:r>
      <w:bookmarkEnd w:id="9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计量管控节水</w:t>
      </w:r>
      <w:r>
        <w:rPr>
          <w:rFonts w:ascii="Arial" w:hAnsi="Arial" w:eastAsia="等线" w:cs="Arial"/>
          <w:sz w:val="22"/>
        </w:rPr>
        <w:t>：按使用用途、付费/管理单元分别设置用水计量装置，实现访客用水、办公用水、绿化用水、设备用水分类计量、远程抄表，精准统计用水量。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水压管控节水</w:t>
      </w:r>
      <w:r>
        <w:rPr>
          <w:rFonts w:ascii="Arial" w:hAnsi="Arial" w:eastAsia="等线" w:cs="Arial"/>
          <w:sz w:val="22"/>
        </w:rPr>
        <w:t>：入户水压0.35MPa，对水压超0.2MPa的配水支管加装减压阀、减压孔板，将出水压力控制在0.05-0.15MPa，既满足器具最低工作压力，又避免超压浪费。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器具节水</w:t>
      </w:r>
      <w:r>
        <w:rPr>
          <w:rFonts w:ascii="Arial" w:hAnsi="Arial" w:eastAsia="等线" w:cs="Arial"/>
          <w:sz w:val="22"/>
        </w:rPr>
        <w:t>：所有卫生洁具、水嘴、冲洗设备均选用符合《节水型产品通用技术条件》GB/T 18870的认证产品，杜绝非节水器具，核心器具节水率超35%。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管网防漏节水</w:t>
      </w:r>
      <w:r>
        <w:rPr>
          <w:rFonts w:ascii="Arial" w:hAnsi="Arial" w:eastAsia="等线" w:cs="Arial"/>
          <w:sz w:val="22"/>
        </w:rPr>
        <w:t>：选用不锈钢、钢塑复合等耐腐蚀管材，软密封阀门，严密密封接口，室外埋地管做防腐保护，定期巡检管网，降低漏损率。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非传统水源利用</w:t>
      </w:r>
      <w:r>
        <w:rPr>
          <w:rFonts w:ascii="Arial" w:hAnsi="Arial" w:eastAsia="等线" w:cs="Arial"/>
          <w:sz w:val="22"/>
        </w:rPr>
        <w:t>：建设屋面雨水收集系统，净化后用于绿化灌溉、道路浇洒，替代市政自来水，提升水资源重复利用率。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循环用水节水</w:t>
      </w:r>
      <w:r>
        <w:rPr>
          <w:rFonts w:ascii="Arial" w:hAnsi="Arial" w:eastAsia="等线" w:cs="Arial"/>
          <w:sz w:val="22"/>
        </w:rPr>
        <w:t>：设备冷却水采用闭式循环系统，重复利用率≥85%，仅补充少量损耗水，大幅减少新鲜水消耗。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运维管控节水</w:t>
      </w:r>
      <w:r>
        <w:rPr>
          <w:rFonts w:ascii="Arial" w:hAnsi="Arial" w:eastAsia="等线" w:cs="Arial"/>
          <w:sz w:val="22"/>
        </w:rPr>
        <w:t>：建立日常巡检、定期维保制度，及时维修漏水器具、故障阀门，开展节水宣传，强化全员节水意识。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5 给排水系统设计方案</w:t>
      </w:r>
      <w:bookmarkEnd w:id="10"/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5.1 生活给水系统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水源</w:t>
      </w:r>
      <w:r>
        <w:rPr>
          <w:rFonts w:ascii="Arial" w:hAnsi="Arial" w:eastAsia="等线" w:cs="Arial"/>
          <w:sz w:val="22"/>
        </w:rPr>
        <w:t>：采用市政自来水作为生活饮用水唯一水源，市政给水引入管管径DN100，入户压力0.35MPa，水质符合《生活饮用水卫生标准》GB 5749。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供水分区</w:t>
      </w:r>
      <w:r>
        <w:rPr>
          <w:rFonts w:ascii="Arial" w:hAnsi="Arial" w:eastAsia="等线" w:cs="Arial"/>
          <w:sz w:val="22"/>
        </w:rPr>
        <w:t>：项目地上3层，建筑高度低，采用市政管网直接供水，不设二次加压设备，节能减耗。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减压措施</w:t>
      </w:r>
      <w:r>
        <w:rPr>
          <w:rFonts w:ascii="Arial" w:hAnsi="Arial" w:eastAsia="等线" w:cs="Arial"/>
          <w:sz w:val="22"/>
        </w:rPr>
        <w:t>：二层、三层配水支管及公共卫生间高位支管原水压超0.2MPa，设置</w:t>
      </w:r>
      <w:r>
        <w:rPr>
          <w:rFonts w:ascii="Arial" w:hAnsi="Arial" w:eastAsia="等线" w:cs="Arial"/>
          <w:b/>
          <w:sz w:val="22"/>
        </w:rPr>
        <w:t>比例式减压阀Y43X-16</w:t>
      </w:r>
      <w:r>
        <w:rPr>
          <w:rFonts w:ascii="Arial" w:hAnsi="Arial" w:eastAsia="等线" w:cs="Arial"/>
          <w:sz w:val="22"/>
        </w:rPr>
        <w:t>和减压孔板，减压后水压稳定在0.10-0.15MPa，满足所有用水器具最低工作压力（≥0.05MPa）要求。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5.2 生活排水系统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活污水采用污废分流制排放，卫生间污水经化粪池预处理后，排入市政污水管网；盥洗废水、冷却废水就近排入室外雨水管网或回收利用，排水管道采用UPVC螺旋消音管，立管通畅、无堵塞，排水能力满足峰值流量需求，管网密闭无渗漏。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5.3 雨水排水系统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雨水采用外排水系统，设置雨水斗、雨水立管，屋面雨水分两路排放：一路接入雨水回收池，经沉淀、过滤、消毒处理后回用；一路溢流至市政雨水管网。雨水回收系统处理能力5m³/h，有效收集屋面汇水面积8200㎡，雨季收集雨水满足绿化、道路用水需求。</w:t>
      </w:r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5.4 管材与配件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管道名称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工作压力（MPa）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生活给水干管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室内管井、室外埋地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钢塑复合管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螺纹/法兰连接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耐腐蚀、耐压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生活给水支管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室内吊顶、墙面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304不锈钢管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卡压连接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卫生、无渗漏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雨水回收管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室外、设备间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UPVC给水管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抗老化、成本低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生活排水管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室内、室外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UPVC螺旋管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消音、通畅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5.5 阀门及附件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给水系统选用软密封闸阀、蝶阀、止回阀，密封性强、不易漏水；超压支管配套比例式减压阀、减压孔板，水压稳定可调；所有计量装置采用旋翼式、螺翼式冷水水表，计量精度B级，具备远程传输功能，阀门附件均经试压合格后安装。</w:t>
      </w:r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5.6 卫生洁具及附件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所有卫生洁具、用水器具均满足《节水型产品通用技术条件》GB/T 18870要求，具体选型：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节水型坐便器：双档冲水3L/4.5L，共32套；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感应式小便器：冲水流量2L/次，共18套；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节水型水嘴：限流≤0.12L/s，感应式自动断流，共65套；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节水淋浴喷头：流量≤0.15L/s，共12套；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所有器具均带国家节水认证标识，无淘汰型产品。</w:t>
      </w:r>
    </w:p>
    <w:p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6 非传统水源利用方案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本项目非传统水源以</w:t>
      </w:r>
      <w:r>
        <w:rPr>
          <w:rFonts w:ascii="Arial" w:hAnsi="Arial" w:eastAsia="等线" w:cs="Arial"/>
          <w:b/>
          <w:sz w:val="22"/>
        </w:rPr>
        <w:t>屋面雨水回收利用</w:t>
      </w:r>
      <w:r>
        <w:rPr>
          <w:rFonts w:ascii="Arial" w:hAnsi="Arial" w:eastAsia="等线" w:cs="Arial"/>
          <w:sz w:val="22"/>
        </w:rPr>
        <w:t>为主，不利用地下水，具体方案：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收集系统</w:t>
      </w:r>
      <w:r>
        <w:rPr>
          <w:rFonts w:ascii="Arial" w:hAnsi="Arial" w:eastAsia="等线" w:cs="Arial"/>
          <w:sz w:val="22"/>
        </w:rPr>
        <w:t>：屋面设置雨水斗、立管，收集屋面雨水，弃流初期污染雨水，收集洁净雨水进入地下蓄水池；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处理系统</w:t>
      </w:r>
      <w:r>
        <w:rPr>
          <w:rFonts w:ascii="Arial" w:hAnsi="Arial" w:eastAsia="等线" w:cs="Arial"/>
          <w:sz w:val="22"/>
        </w:rPr>
        <w:t>：配套一体化雨水处理设备，经沉淀、过滤、紫外线消毒后，水质达到杂用水标准；</w:t>
      </w:r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回用系统</w:t>
      </w:r>
      <w:r>
        <w:rPr>
          <w:rFonts w:ascii="Arial" w:hAnsi="Arial" w:eastAsia="等线" w:cs="Arial"/>
          <w:sz w:val="22"/>
        </w:rPr>
        <w:t>：处理后的雨水用于景观绿化灌溉、场内道路浇洒，不用于生活饮用水；</w:t>
      </w:r>
    </w:p>
    <w:p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利用规模</w:t>
      </w:r>
      <w:r>
        <w:rPr>
          <w:rFonts w:ascii="Arial" w:hAnsi="Arial" w:eastAsia="等线" w:cs="Arial"/>
          <w:sz w:val="22"/>
        </w:rPr>
        <w:t>：年可回收利用雨水约2880m³，替代等量市政自来水，非传统水源利用率达15%，节水效益显著。</w:t>
      </w:r>
    </w:p>
    <w:p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7 水量平衡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年用水量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非传统水源利用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新水用水量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污水量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访客生活用水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7446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7446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全部用市政新水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办公生活用水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全部用市政新水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5544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2664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5544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雨水回用优先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道路浇洒用水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雨水不足补新水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设备冷却补水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循环损耗补水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未预见用水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1487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1487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含漏损、损耗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19243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2880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16363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9690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9553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9553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非传统水源利用率15%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8 绿建节水条款符合性判定</w:t>
      </w:r>
      <w:bookmarkEnd w:id="19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numPr>
                <w:ilvl w:val="0"/>
                <w:numId w:val="3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用水计量条款</w:t>
            </w:r>
            <w:r>
              <w:rPr>
                <w:rFonts w:ascii="Arial" w:hAnsi="Arial" w:eastAsia="等线" w:cs="Arial"/>
                <w:sz w:val="22"/>
              </w:rPr>
              <w:t>：项目按使用用途、管理单元设置6类共计13台用水计量表，分类计量、全覆盖管控，符合绿建第一条要求；</w:t>
            </w:r>
          </w:p>
          <w:p>
            <w:pPr>
              <w:numPr>
                <w:ilvl w:val="0"/>
                <w:numId w:val="3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水压减压条款</w:t>
            </w:r>
            <w:r>
              <w:rPr>
                <w:rFonts w:ascii="Arial" w:hAnsi="Arial" w:eastAsia="等线" w:cs="Arial"/>
                <w:sz w:val="22"/>
              </w:rPr>
              <w:t>：超0.2MPa配水支管均设置减压阀、减压孔板，减压后水压满足器具最低工作压力，无超压出水问题，符合绿建第二条要求；</w:t>
            </w:r>
          </w:p>
          <w:p>
            <w:pPr>
              <w:numPr>
                <w:ilvl w:val="0"/>
                <w:numId w:val="3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节水器具条款</w:t>
            </w:r>
            <w:r>
              <w:rPr>
                <w:rFonts w:ascii="Arial" w:hAnsi="Arial" w:eastAsia="等线" w:cs="Arial"/>
                <w:sz w:val="22"/>
              </w:rPr>
              <w:t>：所有用水器具、设备均符合《节水型产品通用技术条件》GB/T 18870标准，带节水认证，无淘汰产品，符合绿建第三条要求。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总体结论</w:t>
            </w:r>
            <w:r>
              <w:rPr>
                <w:rFonts w:ascii="Arial" w:hAnsi="Arial" w:eastAsia="等线" w:cs="Arial"/>
                <w:sz w:val="22"/>
              </w:rPr>
              <w:t>：本项目水资源利用方案完整、措施可行、数据真实，完全满足绿色建筑评价系统水资源利用相关规定，节水达标、合规有效。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30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F525E00"/>
    <w:rsid w:val="5FB90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2026-03-24T09:29:00Z</dcterms:created>
  <dc:creator>Apache POI</dc:creator>
  <cp:lastModifiedBy>hp</cp:lastModifiedBy>
  <dcterms:modified xsi:type="dcterms:W3CDTF">2026-03-24T09:30:11Z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