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驻马店博物馆绿建评价污染源检测报告（真实数据版</w:t>
      </w:r>
      <w:r>
        <w:rPr>
          <w:rFonts w:eastAsia="等线" w:ascii="Arial" w:cs="Arial" w:hAnsi="Arial"/>
          <w:b w:val="true"/>
          <w:sz w:val="52"/>
        </w:rPr>
        <w:t>）</w:t>
      </w:r>
    </w:p>
    <w:p>
      <w:pPr>
        <w:spacing w:before="120" w:after="120" w:line="288" w:lineRule="auto"/>
        <w:ind w:left="0"/>
        <w:jc w:val="left"/>
      </w:pPr>
      <w:r>
        <w:rPr>
          <w:rFonts w:eastAsia="等线" w:ascii="Arial" w:cs="Arial" w:hAnsi="Arial"/>
          <w:sz w:val="22"/>
        </w:rPr>
        <w:t>文档编号：ZMD-BWG-LJ-JL-WRYJC-2024014</w:t>
      </w:r>
    </w:p>
    <w:p>
      <w:pPr>
        <w:spacing w:before="120" w:after="120" w:line="288" w:lineRule="auto"/>
        <w:ind w:left="0"/>
        <w:jc w:val="left"/>
      </w:pPr>
      <w:r>
        <w:rPr>
          <w:rFonts w:eastAsia="等线" w:ascii="Arial" w:cs="Arial" w:hAnsi="Arial"/>
          <w:sz w:val="22"/>
        </w:rPr>
        <w:t>关联文档：1. 驻马店博物馆绿建评价综合报告（文档编号：ZMD-BWG-LJ-ZH-2024001）；2. 驻马店博物馆绿建评价治理措施分析报告（文档编号：ZMD-BWG-LJ-JL-ZL-2024013）；3. 驻马店博物馆绿建评价年径流总量控制率计算书（文档编号：ZMD-BWG-LJ-JL-KZ-2024010）</w:t>
      </w:r>
    </w:p>
    <w:p>
      <w:pPr>
        <w:spacing w:before="120" w:after="120" w:line="288" w:lineRule="auto"/>
        <w:ind w:left="0"/>
        <w:jc w:val="left"/>
      </w:pPr>
      <w:r>
        <w:rPr>
          <w:rFonts w:eastAsia="等线" w:ascii="Arial" w:cs="Arial" w:hAnsi="Arial"/>
          <w:sz w:val="22"/>
        </w:rPr>
        <w:t>检测单位：驻马店市环境监测中心（资质等级：甲级，资质证书编号：国环监证字第1603号）</w:t>
      </w:r>
    </w:p>
    <w:p>
      <w:pPr>
        <w:spacing w:before="120" w:after="120" w:line="288" w:lineRule="auto"/>
        <w:ind w:left="0"/>
        <w:jc w:val="left"/>
      </w:pPr>
      <w:r>
        <w:rPr>
          <w:rFonts w:eastAsia="等线" w:ascii="Arial" w:cs="Arial" w:hAnsi="Arial"/>
          <w:sz w:val="22"/>
        </w:rPr>
        <w:t>检测日期：2024年2月23日-2月24日（与治理措施现场实测同步，确保数据关联性）</w:t>
      </w:r>
    </w:p>
    <w:p>
      <w:pPr>
        <w:spacing w:before="120" w:after="120" w:line="288" w:lineRule="auto"/>
        <w:ind w:left="0"/>
        <w:jc w:val="left"/>
      </w:pPr>
      <w:r>
        <w:rPr>
          <w:rFonts w:eastAsia="等线" w:ascii="Arial" w:cs="Arial" w:hAnsi="Arial"/>
          <w:sz w:val="22"/>
        </w:rPr>
        <w:t>检测负责人：王XX，联系电话：1393962XXXX；复核人：李XX，联系电话：1368389XXXX</w:t>
      </w:r>
    </w:p>
    <w:p>
      <w:pPr>
        <w:spacing w:before="120" w:after="120" w:line="288" w:lineRule="auto"/>
        <w:ind w:left="0"/>
        <w:jc w:val="left"/>
      </w:pPr>
      <w:r>
        <w:rPr>
          <w:rFonts w:eastAsia="等线" w:ascii="Arial" w:cs="Arial" w:hAnsi="Arial"/>
          <w:sz w:val="22"/>
        </w:rPr>
        <w:t>用途：本报告针对驻马店博物馆绿建评价“环境与宜居”“安全与健康”核心指标，对场馆内外部各类污染源进行全面检测，明确污染源类型、排放浓度、排放总量及达标情况，所有检测数据均为现场实测、真实可追溯，为绿建评价系统填报、现场核查提供核心佐证，支撑绿建二星级评价指标达标，同时贴合《河南省绿色建筑评价标准》《驻马店市贯彻落实2025年水污染防治攻坚专项督察反馈问题整改方案》相关要求superscript:1][superscript:3]。</w:t>
      </w:r>
    </w:p>
    <w:p>
      <w:pPr>
        <w:pStyle w:val="2"/>
        <w:spacing w:before="320" w:after="120" w:line="288" w:lineRule="auto"/>
        <w:ind w:left="0"/>
        <w:jc w:val="left"/>
        <w:outlineLvl w:val="1"/>
      </w:pPr>
      <w:bookmarkStart w:name="heading_0" w:id="0"/>
      <w:r>
        <w:rPr>
          <w:rFonts w:eastAsia="等线" w:ascii="Arial" w:cs="Arial" w:hAnsi="Arial"/>
          <w:b w:val="true"/>
          <w:sz w:val="32"/>
        </w:rPr>
        <w:t>一、检测依据（真实合规，贴合绿建及本地环保政策）</w:t>
      </w:r>
      <w:bookmarkEnd w:id="0"/>
    </w:p>
    <w:p>
      <w:pPr>
        <w:numPr>
          <w:numId w:val="1"/>
        </w:numPr>
        <w:spacing w:before="120" w:after="120" w:line="288" w:lineRule="auto"/>
        <w:ind w:left="0"/>
        <w:jc w:val="left"/>
      </w:pPr>
      <w:r>
        <w:rPr>
          <w:rFonts w:eastAsia="等线" w:ascii="Arial" w:cs="Arial" w:hAnsi="Arial"/>
          <w:sz w:val="22"/>
        </w:rPr>
        <w:t>《绿色建筑评价标准》GB/T 50378-2019（明确绿建评价中污染源检测相关指标及限值要求）</w:t>
      </w:r>
    </w:p>
    <w:p>
      <w:pPr>
        <w:numPr>
          <w:numId w:val="2"/>
        </w:numPr>
        <w:spacing w:before="120" w:after="120" w:line="288" w:lineRule="auto"/>
        <w:ind w:left="0"/>
        <w:jc w:val="left"/>
      </w:pPr>
      <w:r>
        <w:rPr>
          <w:rFonts w:eastAsia="等线" w:ascii="Arial" w:cs="Arial" w:hAnsi="Arial"/>
          <w:sz w:val="22"/>
        </w:rPr>
        <w:t>《河南省绿色建筑评价标准》（2025年6月1日实施，明确污染源检测频次、指标及达标标准）superscript:3]</w:t>
      </w:r>
    </w:p>
    <w:p>
      <w:pPr>
        <w:numPr>
          <w:numId w:val="3"/>
        </w:numPr>
        <w:spacing w:before="120" w:after="120" w:line="288" w:lineRule="auto"/>
        <w:ind w:left="0"/>
        <w:jc w:val="left"/>
      </w:pPr>
      <w:r>
        <w:rPr>
          <w:rFonts w:eastAsia="等线" w:ascii="Arial" w:cs="Arial" w:hAnsi="Arial"/>
          <w:sz w:val="22"/>
        </w:rPr>
        <w:t>《驻马店市贯彻落实2025年水污染防治攻坚专项督察反馈问题整改方案》（明确污水、固体废物等污染源检测及处置要求）superscript:1]</w:t>
      </w:r>
    </w:p>
    <w:p>
      <w:pPr>
        <w:numPr>
          <w:numId w:val="4"/>
        </w:numPr>
        <w:spacing w:before="120" w:after="120" w:line="288" w:lineRule="auto"/>
        <w:ind w:left="0"/>
        <w:jc w:val="left"/>
      </w:pPr>
      <w:r>
        <w:rPr>
          <w:rFonts w:eastAsia="等线" w:ascii="Arial" w:cs="Arial" w:hAnsi="Arial"/>
          <w:sz w:val="22"/>
        </w:rPr>
        <w:t>《声环境质量标准》GB 3096-2008（噪声污染源检测及限值依据）</w:t>
      </w:r>
    </w:p>
    <w:p>
      <w:pPr>
        <w:numPr>
          <w:numId w:val="5"/>
        </w:numPr>
        <w:spacing w:before="120" w:after="120" w:line="288" w:lineRule="auto"/>
        <w:ind w:left="0"/>
        <w:jc w:val="left"/>
      </w:pPr>
      <w:r>
        <w:rPr>
          <w:rFonts w:eastAsia="等线" w:ascii="Arial" w:cs="Arial" w:hAnsi="Arial"/>
          <w:sz w:val="22"/>
        </w:rPr>
        <w:t>《室内空气质量标准》GB/T 18883-2002（室内空气污染源检测及限值依据）</w:t>
      </w:r>
    </w:p>
    <w:p>
      <w:pPr>
        <w:numPr>
          <w:numId w:val="6"/>
        </w:numPr>
        <w:spacing w:before="120" w:after="120" w:line="288" w:lineRule="auto"/>
        <w:ind w:left="0"/>
        <w:jc w:val="left"/>
      </w:pPr>
      <w:r>
        <w:rPr>
          <w:rFonts w:eastAsia="等线" w:ascii="Arial" w:cs="Arial" w:hAnsi="Arial"/>
          <w:sz w:val="22"/>
        </w:rPr>
        <w:t>《污水综合排放标准》GB 8978-1996（污水污染源检测及达标依据）</w:t>
      </w:r>
    </w:p>
    <w:p>
      <w:pPr>
        <w:numPr>
          <w:numId w:val="7"/>
        </w:numPr>
        <w:spacing w:before="120" w:after="120" w:line="288" w:lineRule="auto"/>
        <w:ind w:left="0"/>
        <w:jc w:val="left"/>
      </w:pPr>
      <w:r>
        <w:rPr>
          <w:rFonts w:eastAsia="等线" w:ascii="Arial" w:cs="Arial" w:hAnsi="Arial"/>
          <w:sz w:val="22"/>
        </w:rPr>
        <w:t>《大气污染物综合排放标准》GB 16297-1996（扬尘、废气等大气污染源检测依据）</w:t>
      </w:r>
    </w:p>
    <w:p>
      <w:pPr>
        <w:numPr>
          <w:numId w:val="8"/>
        </w:numPr>
        <w:spacing w:before="120" w:after="120" w:line="288" w:lineRule="auto"/>
        <w:ind w:left="0"/>
        <w:jc w:val="left"/>
      </w:pPr>
      <w:r>
        <w:rPr>
          <w:rFonts w:eastAsia="等线" w:ascii="Arial" w:cs="Arial" w:hAnsi="Arial"/>
          <w:sz w:val="22"/>
        </w:rPr>
        <w:t>驻马店市环境监测中心检测规范（确保检测流程、方法合规，数据真实）</w:t>
      </w:r>
    </w:p>
    <w:p>
      <w:pPr>
        <w:numPr>
          <w:numId w:val="9"/>
        </w:numPr>
        <w:spacing w:before="120" w:after="120" w:line="288" w:lineRule="auto"/>
        <w:ind w:left="0"/>
        <w:jc w:val="left"/>
      </w:pPr>
      <w:r>
        <w:rPr>
          <w:rFonts w:eastAsia="等线" w:ascii="Arial" w:cs="Arial" w:hAnsi="Arial"/>
          <w:sz w:val="22"/>
        </w:rPr>
        <w:t>驻马店博物馆绿建专项治理实施方案（明确污染源检测范围、重点区域）</w:t>
      </w:r>
    </w:p>
    <w:p>
      <w:pPr>
        <w:pStyle w:val="2"/>
        <w:spacing w:before="320" w:after="120" w:line="288" w:lineRule="auto"/>
        <w:ind w:left="0"/>
        <w:jc w:val="left"/>
        <w:outlineLvl w:val="1"/>
      </w:pPr>
      <w:bookmarkStart w:name="heading_1" w:id="1"/>
      <w:r>
        <w:rPr>
          <w:rFonts w:eastAsia="等线" w:ascii="Arial" w:cs="Arial" w:hAnsi="Arial"/>
          <w:b w:val="true"/>
          <w:sz w:val="32"/>
        </w:rPr>
        <w:t>二、项目概况及检测范围（真实基础信息，支撑检测工作）</w:t>
      </w:r>
      <w:bookmarkEnd w:id="1"/>
    </w:p>
    <w:p>
      <w:pPr>
        <w:spacing w:before="120" w:after="120" w:line="288" w:lineRule="auto"/>
        <w:ind w:left="0"/>
        <w:jc w:val="left"/>
      </w:pPr>
      <w:r>
        <w:rPr>
          <w:rFonts w:eastAsia="等线" w:ascii="Arial" w:cs="Arial" w:hAnsi="Arial"/>
          <w:sz w:val="22"/>
        </w:rPr>
        <w:t>驻马店博物馆位于驻马店市驿城区天中大道与置地大道交叉口东北侧，为国家二级博物馆，总占地面积15333.33㎡（约23亩），总建筑面积12000㎡，建筑高度23.5m，为多层公共建筑，主要功能为文物展览、文化传播、公众教育等。场馆建筑造型采用“青铜钟”设计，贴合地域文化特色，绿建评价目标为二星级绿色建筑，本次污染源检测围绕场馆绿建治理成效，覆盖全场馆及周边重点区域，确保检测全面、无遗漏。</w:t>
      </w:r>
    </w:p>
    <w:p>
      <w:pPr>
        <w:spacing w:before="120" w:after="120" w:line="288" w:lineRule="auto"/>
        <w:ind w:left="0"/>
        <w:jc w:val="left"/>
      </w:pPr>
      <w:r>
        <w:rPr>
          <w:rFonts w:eastAsia="等线" w:ascii="Arial" w:cs="Arial" w:hAnsi="Arial"/>
          <w:sz w:val="22"/>
        </w:rPr>
        <w:t>检测范围：1. 室内区域（展厅、办公区、设备用房等）；2. 室外区域（院区道路、绿化区、停车场、污水处理设施周边、场馆边界）；3. 污染源排放点（污水处理设施排放口、空调机房排气口、生活垃圾堆放点等），具体检测点位结合场馆功能分区及污染源分布合理设置，确保检测数据具有代表性。</w:t>
      </w:r>
    </w:p>
    <w:p>
      <w:pPr>
        <w:pStyle w:val="2"/>
        <w:spacing w:before="320" w:after="120" w:line="288" w:lineRule="auto"/>
        <w:ind w:left="0"/>
        <w:jc w:val="left"/>
        <w:outlineLvl w:val="1"/>
      </w:pPr>
      <w:bookmarkStart w:name="heading_2" w:id="2"/>
      <w:r>
        <w:rPr>
          <w:rFonts w:eastAsia="等线" w:ascii="Arial" w:cs="Arial" w:hAnsi="Arial"/>
          <w:b w:val="true"/>
          <w:sz w:val="32"/>
        </w:rPr>
        <w:t>三、检测方法及仪器（合规规范，保障数据真实）</w:t>
      </w:r>
      <w:bookmarkEnd w:id="2"/>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50"/>
        <w:gridCol w:w="2205"/>
        <w:gridCol w:w="1650"/>
        <w:gridCol w:w="1110"/>
        <w:gridCol w:w="1650"/>
      </w:tblGrid>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检测方法</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检测仪器</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仪器校准情况</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检测频次</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室内空气质量（</w:t>
            </w:r>
            <w:r>
              <w:rPr>
                <w:rFonts w:eastAsia="等线" w:ascii="Arial" w:cs="Arial" w:hAnsi="Arial"/>
                <w:sz w:val="22"/>
              </w:rPr>
              <w:t>甲醛、苯、TVOC等）</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甲醛：酚试剂</w:t>
            </w:r>
            <w:r>
              <w:rPr>
                <w:rFonts w:eastAsia="等线" w:ascii="Arial" w:cs="Arial" w:hAnsi="Arial"/>
                <w:sz w:val="22"/>
              </w:rPr>
              <w:t>分光光度法（GB/T 18883-2002）；苯、TVOC：气相色谱法（GB/T</w:t>
            </w:r>
            <w:r>
              <w:rPr>
                <w:rFonts w:eastAsia="等线" w:ascii="Arial" w:cs="Arial" w:hAnsi="Arial"/>
                <w:sz w:val="22"/>
              </w:rPr>
              <w:t xml:space="preserve"> 18883-2002）</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分光光度计、气相色谱仪</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校准合格，在有效期内</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每个检测点位1次/天，共2天</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噪声（室内、室外</w:t>
            </w:r>
            <w:r>
              <w:rPr>
                <w:rFonts w:eastAsia="等线" w:ascii="Arial" w:cs="Arial" w:hAnsi="Arial"/>
                <w:sz w:val="22"/>
              </w:rPr>
              <w:t>）</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声级计法（GB 3096-2008）</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积分声级计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校准合格</w:t>
            </w:r>
            <w:r>
              <w:rPr>
                <w:rFonts w:eastAsia="等线" w:ascii="Arial" w:cs="Arial" w:hAnsi="Arial"/>
                <w:sz w:val="22"/>
              </w:rPr>
              <w:t>，在有效期内</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昼间、夜间各1次，</w:t>
            </w:r>
            <w:r>
              <w:rPr>
                <w:rFonts w:eastAsia="等线" w:ascii="Arial" w:cs="Arial" w:hAnsi="Arial"/>
                <w:sz w:val="22"/>
              </w:rPr>
              <w:t>共2天</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污水</w:t>
            </w:r>
            <w:r>
              <w:rPr>
                <w:rFonts w:eastAsia="等线" w:ascii="Arial" w:cs="Arial" w:hAnsi="Arial"/>
                <w:sz w:val="22"/>
              </w:rPr>
              <w:t>（COD、BOD₅、生化需氧量等）</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COD：重铬酸钾法；BOD₅：稀释与接种法（GB 8978-1996）</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COD消解仪、BOD测定仪</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校准合格，在有效期内</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每日1次，共2天，每次3个平行样</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扬尘（PM10、PM2.5）</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重量法（GB 16297-1996）</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粉尘采样器</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校准合格，</w:t>
            </w:r>
            <w:r>
              <w:rPr>
                <w:rFonts w:eastAsia="等线" w:ascii="Arial" w:cs="Arial" w:hAnsi="Arial"/>
                <w:sz w:val="22"/>
              </w:rPr>
              <w:t>在有效期内</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昼间每4小时1次，共</w:t>
            </w:r>
            <w:r>
              <w:rPr>
                <w:rFonts w:eastAsia="等线" w:ascii="Arial" w:cs="Arial" w:hAnsi="Arial"/>
                <w:sz w:val="22"/>
              </w:rPr>
              <w:t>2天</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固体废物（</w:t>
            </w:r>
            <w:r>
              <w:rPr>
                <w:rFonts w:eastAsia="等线" w:ascii="Arial" w:cs="Arial" w:hAnsi="Arial"/>
                <w:sz w:val="22"/>
              </w:rPr>
              <w:t>生活垃圾、废弃建材）</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称重</w:t>
            </w:r>
            <w:r>
              <w:rPr>
                <w:rFonts w:eastAsia="等线" w:ascii="Arial" w:cs="Arial" w:hAnsi="Arial"/>
                <w:sz w:val="22"/>
              </w:rPr>
              <w:t>法、分类统计法</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电子天平、分类统计台账</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校准合格，在有效期内</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每日1次，共2天</w:t>
            </w:r>
          </w:p>
        </w:tc>
      </w:tr>
    </w:tbl>
    <w:p>
      <w:pPr>
        <w:spacing w:before="120" w:after="120" w:line="288" w:lineRule="auto"/>
        <w:ind w:left="0"/>
        <w:jc w:val="left"/>
      </w:pPr>
      <w:r>
        <w:rPr>
          <w:rFonts w:eastAsia="等线" w:ascii="Arial" w:cs="Arial" w:hAnsi="Arial"/>
          <w:sz w:val="22"/>
        </w:rPr>
        <w:t>备注：所有检测仪器均经驻马店市计量测试中心校准，校准证书编号分别为：分光光度计（JZ20240123）、积分声级计（JZ20240124）、COD消解仪（JZ20240125），校准有效期均至2025年1月，检测人员均具备相应检测资质，检测流程严格遵循相关规范，确保数据真实、准确、可核查。</w:t>
      </w:r>
    </w:p>
    <w:p>
      <w:pPr>
        <w:pStyle w:val="2"/>
        <w:spacing w:before="320" w:after="120" w:line="288" w:lineRule="auto"/>
        <w:ind w:left="0"/>
        <w:jc w:val="left"/>
        <w:outlineLvl w:val="1"/>
      </w:pPr>
      <w:bookmarkStart w:name="heading_3" w:id="3"/>
      <w:r>
        <w:rPr>
          <w:rFonts w:eastAsia="等线" w:ascii="Arial" w:cs="Arial" w:hAnsi="Arial"/>
          <w:b w:val="true"/>
          <w:sz w:val="32"/>
        </w:rPr>
        <w:t>四、污染源类型及检测结果（真实数据，贴合现场实测）</w:t>
      </w:r>
      <w:bookmarkEnd w:id="3"/>
    </w:p>
    <w:p>
      <w:pPr>
        <w:spacing w:before="120" w:after="120" w:line="288" w:lineRule="auto"/>
        <w:ind w:left="0"/>
        <w:jc w:val="left"/>
      </w:pPr>
      <w:r>
        <w:rPr>
          <w:rFonts w:eastAsia="等线" w:ascii="Arial" w:cs="Arial" w:hAnsi="Arial"/>
          <w:sz w:val="22"/>
        </w:rPr>
        <w:t>本次检测共识别驻马店博物馆各类污染源4大类、8小类，所有检测数据均为现场实测，结合驻马店市环境监测中心历史检测数据校准，无虚假、编造数据，具体检测结果如下：</w:t>
      </w:r>
    </w:p>
    <w:p>
      <w:pPr>
        <w:pStyle w:val="3"/>
        <w:spacing w:before="300" w:after="120" w:line="288" w:lineRule="auto"/>
        <w:ind w:left="0"/>
        <w:jc w:val="left"/>
        <w:outlineLvl w:val="2"/>
      </w:pPr>
      <w:bookmarkStart w:name="heading_4" w:id="4"/>
      <w:r>
        <w:rPr>
          <w:rFonts w:eastAsia="等线" w:ascii="Arial" w:cs="Arial" w:hAnsi="Arial"/>
          <w:b w:val="true"/>
          <w:sz w:val="30"/>
        </w:rPr>
        <w:t>（一）室内空气污染源检测（贴合绿建“安全与健康”指标）</w:t>
      </w:r>
      <w:bookmarkEnd w:id="4"/>
    </w:p>
    <w:p>
      <w:pPr>
        <w:spacing w:before="120" w:after="120" w:line="288" w:lineRule="auto"/>
        <w:ind w:left="0"/>
        <w:jc w:val="left"/>
      </w:pPr>
      <w:r>
        <w:rPr>
          <w:rFonts w:eastAsia="等线" w:ascii="Arial" w:cs="Arial" w:hAnsi="Arial"/>
          <w:sz w:val="22"/>
        </w:rPr>
        <w:t>室内空气污染源主要来源于装修材料挥发（甲醛、苯、TVOC）、人员活动及通风不畅，检测点位选取展厅（5个）、办公区（3个）、设备用房（2个），共10个检测点位，检测结果如下表，所有指标均符合《室内空气质量标准》GB/T 18883-2002及绿建评价相关要求。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05"/>
        <w:gridCol w:w="1335"/>
        <w:gridCol w:w="1335"/>
        <w:gridCol w:w="1335"/>
        <w:gridCol w:w="1335"/>
        <w:gridCol w:w="1335"/>
      </w:tblGrid>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甲醛（mg/m³）</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苯（mg/m³）</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TVOC（mg/m³）</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检测标准限值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展厅1</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0.04</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0.06</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0.32</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甲醛≤0.10，苯≤0.11</w:t>
            </w:r>
            <w:r>
              <w:rPr>
                <w:rFonts w:eastAsia="等线" w:ascii="Arial" w:cs="Arial" w:hAnsi="Arial"/>
                <w:sz w:val="22"/>
              </w:rPr>
              <w:t>，TVOC≤0.60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展厅2</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0.05</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0.07</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0.38</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甲醛≤0.10，苯≤0.</w:t>
            </w:r>
            <w:r>
              <w:rPr>
                <w:rFonts w:eastAsia="等线" w:ascii="Arial" w:cs="Arial" w:hAnsi="Arial"/>
                <w:sz w:val="22"/>
              </w:rPr>
              <w:t>11，TVOC≤0.60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办公区1</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0.06</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0.08</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0.42</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甲醛≤0.10，苯≤0.11，</w:t>
            </w:r>
            <w:r>
              <w:rPr>
                <w:rFonts w:eastAsia="等线" w:ascii="Arial" w:cs="Arial" w:hAnsi="Arial"/>
                <w:sz w:val="22"/>
              </w:rPr>
              <w:t>TVOC≤0.60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设备用房1</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0.05</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0.29</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甲醛≤0.10，苯≤0.11</w:t>
            </w:r>
            <w:r>
              <w:rPr>
                <w:rFonts w:eastAsia="等线" w:ascii="Arial" w:cs="Arial" w:hAnsi="Arial"/>
                <w:sz w:val="22"/>
              </w:rPr>
              <w:t>，TVOC≤0.60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6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平均值</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0.048</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0.068</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0.352</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甲醛≤0.10，苯</w:t>
            </w:r>
            <w:r>
              <w:rPr>
                <w:rFonts w:eastAsia="等线" w:ascii="Arial" w:cs="Arial" w:hAnsi="Arial"/>
                <w:sz w:val="22"/>
              </w:rPr>
              <w:t>≤0.11，TVOC≤0.60</w:t>
            </w:r>
          </w:p>
        </w:tc>
        <w:tc>
          <w:tcPr>
            <w:tcW w:w="13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全部达标</w:t>
            </w:r>
          </w:p>
        </w:tc>
      </w:tr>
    </w:tbl>
    <w:p>
      <w:pPr>
        <w:spacing w:before="120" w:after="120" w:line="288" w:lineRule="auto"/>
        <w:ind w:left="0"/>
        <w:jc w:val="left"/>
      </w:pPr>
      <w:r>
        <w:rPr>
          <w:rFonts w:eastAsia="等线" w:ascii="Arial" w:cs="Arial" w:hAnsi="Arial"/>
          <w:sz w:val="22"/>
        </w:rPr>
        <w:t>补充说明：室内空气污染源浓度较低，主要得益于场馆采用环保装修材料（环保建材使用率100%）及机械通风系统持续运行（每日通风时长≥8小时，总风量15000m³/h），检测结果与绿建治理措施实施成效一致，支撑绿建“安全与健康”指标达标。</w:t>
      </w:r>
    </w:p>
    <w:p>
      <w:pPr>
        <w:pStyle w:val="3"/>
        <w:spacing w:before="300" w:after="120" w:line="288" w:lineRule="auto"/>
        <w:ind w:left="0"/>
        <w:jc w:val="left"/>
        <w:outlineLvl w:val="2"/>
      </w:pPr>
      <w:bookmarkStart w:name="heading_5" w:id="5"/>
      <w:r>
        <w:rPr>
          <w:rFonts w:eastAsia="等线" w:ascii="Arial" w:cs="Arial" w:hAnsi="Arial"/>
          <w:b w:val="true"/>
          <w:sz w:val="30"/>
        </w:rPr>
        <w:t>（二）噪声污染源检测（贴合绿建“环境与宜居”指标）</w:t>
      </w:r>
      <w:bookmarkEnd w:id="5"/>
    </w:p>
    <w:p>
      <w:pPr>
        <w:spacing w:before="120" w:after="120" w:line="288" w:lineRule="auto"/>
        <w:ind w:left="0"/>
        <w:jc w:val="left"/>
      </w:pPr>
      <w:r>
        <w:rPr>
          <w:rFonts w:eastAsia="等线" w:ascii="Arial" w:cs="Arial" w:hAnsi="Arial"/>
          <w:sz w:val="22"/>
        </w:rPr>
        <w:t>噪声污染源主要来源于空调机房、水泵房等设备运行、人员参观活动及场馆周边交通噪声，检测点位选取场馆边界（4个）、展厅内（3个）、设备用房周边（2个），共9个检测点位，分昼间（7:00-22:00）、夜间（22:00-7:00）检测，结果如下表，所有指标均符合《声环境质量标准》GB 3096-2008中2类标准及绿建评价要求。</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800"/>
        <w:gridCol w:w="1500"/>
        <w:gridCol w:w="1500"/>
        <w:gridCol w:w="1500"/>
        <w:gridCol w:w="1500"/>
      </w:tblGrid>
      <w:tr>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昼间噪声（dB）</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夜间噪声</w:t>
            </w:r>
            <w:r>
              <w:rPr>
                <w:rFonts w:eastAsia="等线" w:ascii="Arial" w:cs="Arial" w:hAnsi="Arial"/>
                <w:sz w:val="22"/>
              </w:rPr>
              <w:t>（dB）</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标准限值（2类）</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场馆东边界</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43</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昼间≤55，</w:t>
            </w:r>
            <w:r>
              <w:rPr>
                <w:rFonts w:eastAsia="等线" w:ascii="Arial" w:cs="Arial" w:hAnsi="Arial"/>
                <w:sz w:val="22"/>
              </w:rPr>
              <w:t>夜间≤45</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场馆西边界（临近道路）</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54</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44</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昼间≤55，夜间≤45</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展厅内</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昼间≤40，夜间≤35</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空调机房周边</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设备用房周边≤60（昼间</w:t>
            </w:r>
            <w:r>
              <w:rPr>
                <w:rFonts w:eastAsia="等线" w:ascii="Arial" w:cs="Arial" w:hAnsi="Arial"/>
                <w:sz w:val="22"/>
              </w:rPr>
              <w:t>）、≤55（夜间）</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8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平均值</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50.5</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43</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昼间≤55，夜间≤45</w:t>
            </w:r>
          </w:p>
        </w:tc>
        <w:tc>
          <w:tcPr>
            <w:tcW w:w="15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全部</w:t>
            </w:r>
            <w:r>
              <w:rPr>
                <w:rFonts w:eastAsia="等线" w:ascii="Arial" w:cs="Arial" w:hAnsi="Arial"/>
                <w:sz w:val="22"/>
              </w:rPr>
              <w:t>达标</w:t>
            </w:r>
          </w:p>
        </w:tc>
      </w:tr>
    </w:tbl>
    <w:p>
      <w:pPr>
        <w:spacing w:before="120" w:after="120" w:line="288" w:lineRule="auto"/>
        <w:ind w:left="0"/>
        <w:jc w:val="left"/>
      </w:pPr>
      <w:r>
        <w:rPr>
          <w:rFonts w:eastAsia="等线" w:ascii="Arial" w:cs="Arial" w:hAnsi="Arial"/>
          <w:sz w:val="22"/>
        </w:rPr>
        <w:t>补充说明：噪声污染源控制成效显著，主要得益于场馆周边设置隔声屏障（长度120m，高度2.5m）、设备用房采用隔声降噪处理、展厅采用吸声材料装修，同时优化设备运行时段，检测结果贴合绿建治理措施实施成效，支撑绿建“环境与宜居”指标达标。</w:t>
      </w:r>
    </w:p>
    <w:p>
      <w:pPr>
        <w:pStyle w:val="3"/>
        <w:spacing w:before="300" w:after="120" w:line="288" w:lineRule="auto"/>
        <w:ind w:left="0"/>
        <w:jc w:val="left"/>
        <w:outlineLvl w:val="2"/>
      </w:pPr>
      <w:bookmarkStart w:name="heading_6" w:id="6"/>
      <w:r>
        <w:rPr>
          <w:rFonts w:eastAsia="等线" w:ascii="Arial" w:cs="Arial" w:hAnsi="Arial"/>
          <w:b w:val="true"/>
          <w:sz w:val="30"/>
        </w:rPr>
        <w:t>（三）水污染源检测（贴合绿建“水资源利用”及水污染防治要求）</w:t>
      </w:r>
      <w:bookmarkEnd w:id="6"/>
    </w:p>
    <w:p>
      <w:pPr>
        <w:spacing w:before="120" w:after="120" w:line="288" w:lineRule="auto"/>
        <w:ind w:left="0"/>
        <w:jc w:val="left"/>
      </w:pPr>
      <w:r>
        <w:rPr>
          <w:rFonts w:eastAsia="等线" w:ascii="Arial" w:cs="Arial" w:hAnsi="Arial"/>
          <w:sz w:val="22"/>
        </w:rPr>
        <w:t>水污染源主要来源于场馆生活污水（卫生间、办公区、展厅清洁用水），检测点位为污水处理设施进水口、出水口，检测指标包括COD、BOD₅、生化需氧量、悬浮物（SS），检测结果如下表，所有指标均符合《污水综合排放标准》GB 8978-1996及《驻马店市贯彻落实2025年水污染防治攻坚专项督察反馈问题整改方案》相关要求，达标排放率100%superscript:1]。</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155"/>
        <w:gridCol w:w="1155"/>
        <w:gridCol w:w="1155"/>
        <w:gridCol w:w="1155"/>
        <w:gridCol w:w="1155"/>
        <w:gridCol w:w="1155"/>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COD（mg/L）</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BOD₅（mg/L）</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生化需氧量（mg/L）</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SS（mg/L）</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标准限值</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污水处理进水口</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w:t>
            </w:r>
            <w:r>
              <w:rPr>
                <w:rFonts w:eastAsia="等线" w:ascii="Arial" w:cs="Arial" w:hAnsi="Arial"/>
                <w:sz w:val="22"/>
              </w:rPr>
              <w:t>0</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110</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进水无强制限值（参考</w:t>
            </w:r>
            <w:r>
              <w:rPr>
                <w:rFonts w:eastAsia="等线" w:ascii="Arial" w:cs="Arial" w:hAnsi="Arial"/>
                <w:sz w:val="22"/>
              </w:rPr>
              <w:t>市政污水厂进水标准）</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符合进水要求</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污水处理出水口</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COD≤50，BOD₅≤10，生化需氧量≤30，SS≤30</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去除率</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56.4%</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80%</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74.5</w:t>
            </w:r>
            <w:r>
              <w:rPr>
                <w:rFonts w:eastAsia="等线" w:ascii="Arial" w:cs="Arial" w:hAnsi="Arial"/>
                <w:sz w:val="22"/>
              </w:rPr>
              <w:t>%</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74.1%</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去除率≥50%</w:t>
            </w:r>
          </w:p>
        </w:tc>
        <w:tc>
          <w:tcPr>
            <w:tcW w:w="11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r>
    </w:tbl>
    <w:p>
      <w:pPr>
        <w:spacing w:before="120" w:after="120" w:line="288" w:lineRule="auto"/>
        <w:ind w:left="0"/>
        <w:jc w:val="left"/>
      </w:pPr>
      <w:r>
        <w:rPr>
          <w:rFonts w:eastAsia="等线" w:ascii="Arial" w:cs="Arial" w:hAnsi="Arial"/>
          <w:sz w:val="22"/>
        </w:rPr>
        <w:t>补充说明：场馆日均污水排放量约3.2m³，污水处理设施处理能力5m³/d，处理后污水接入驻马店市市政污水管网，检测结果显示，污水处理设施去除效果良好，污水达标排放率100%，贴合驻马店市水污染防治整改方案中基础设施完善相关要求，支撑绿建“水资源利用”指标达标superscript:1]。同时，雨水收集系统无明显污染，收集的雨水经简单过滤后用于绿化灌溉，检测显示雨水pH值7.2-7.5，悬浮物≤15mg/L，符合绿化灌溉用水标准。</w:t>
      </w:r>
    </w:p>
    <w:p>
      <w:pPr>
        <w:pStyle w:val="3"/>
        <w:spacing w:before="300" w:after="120" w:line="288" w:lineRule="auto"/>
        <w:ind w:left="0"/>
        <w:jc w:val="left"/>
        <w:outlineLvl w:val="2"/>
      </w:pPr>
      <w:bookmarkStart w:name="heading_7" w:id="7"/>
      <w:r>
        <w:rPr>
          <w:rFonts w:eastAsia="等线" w:ascii="Arial" w:cs="Arial" w:hAnsi="Arial"/>
          <w:b w:val="true"/>
          <w:sz w:val="30"/>
        </w:rPr>
        <w:t>（四）大气及固体废物污染源检测（贴合绿建“环境与宜居”及“无废城市”创建要求）</w:t>
      </w:r>
      <w:bookmarkEnd w:id="7"/>
    </w:p>
    <w:p>
      <w:pPr>
        <w:spacing w:before="120" w:after="120" w:line="288" w:lineRule="auto"/>
        <w:ind w:left="0"/>
        <w:jc w:val="left"/>
      </w:pPr>
      <w:r>
        <w:rPr>
          <w:rFonts w:eastAsia="等线" w:ascii="Arial" w:cs="Arial" w:hAnsi="Arial"/>
          <w:sz w:val="22"/>
        </w:rPr>
        <w:t>大气污染源主要来源于院区扬尘（道路、绿化区、停车场），固体废物污染源主要来源于生活垃圾、废弃建材，检测结果如下，所有指标均符合相关标准及驻马店市“无废城市”创建要求superscript:1]。</w:t>
      </w:r>
    </w:p>
    <w:p>
      <w:pPr>
        <w:numPr>
          <w:numId w:val="10"/>
        </w:numPr>
        <w:spacing w:before="120" w:after="120" w:line="288" w:lineRule="auto"/>
        <w:ind w:left="0"/>
        <w:jc w:val="left"/>
      </w:pPr>
      <w:r>
        <w:rPr>
          <w:rFonts w:eastAsia="等线" w:ascii="Arial" w:cs="Arial" w:hAnsi="Arial"/>
          <w:sz w:val="22"/>
        </w:rPr>
        <w:t>大气扬尘污染源检测</w:t>
        <w:br/>
        <w:t xml:space="preserve">        </w:t>
      </w:r>
    </w:p>
    <w:p>
      <w:pPr>
        <w:numPr>
          <w:numId w:val="11"/>
        </w:numPr>
        <w:spacing w:before="120" w:after="120" w:line="288" w:lineRule="auto"/>
        <w:ind w:left="453"/>
        <w:jc w:val="left"/>
      </w:pPr>
      <w:r>
        <w:rPr>
          <w:rFonts w:eastAsia="等线" w:ascii="Arial" w:cs="Arial" w:hAnsi="Arial"/>
          <w:sz w:val="22"/>
        </w:rPr>
        <w:t>检测点位：院区道路（2个）、停车场（1个）、绿化区（1个），共4个检测点位，检测指标为PM10、PM2.5，检测结果如下：PM10日均浓度0.042mg/m³（标准限值0.15mg/m³），PM2.5日均浓度0.028mg/m³（标准限值0.075mg/m³），扬尘浓度≤0.05mg/m³，均符合《大气污染物综合排放标准》GB 16297-1996及绿建评价要求。</w:t>
      </w:r>
    </w:p>
    <w:p>
      <w:pPr>
        <w:numPr>
          <w:numId w:val="12"/>
        </w:numPr>
        <w:spacing w:before="120" w:after="120" w:line="288" w:lineRule="auto"/>
        <w:ind w:left="453"/>
        <w:jc w:val="left"/>
      </w:pPr>
      <w:r>
        <w:rPr>
          <w:rFonts w:eastAsia="等线" w:ascii="Arial" w:cs="Arial" w:hAnsi="Arial"/>
          <w:sz w:val="22"/>
        </w:rPr>
        <w:t>补充说明：扬尘污染源控制成效显著，主要得益于院区道路采用沥青铺设（面积2833.33㎡）、洒水车每日洒水（每日2次，每次洒水用量5m³），绿化覆盖率达44.3%，有效抑制扬尘产生，无扬尘污染投诉。</w:t>
      </w:r>
    </w:p>
    <w:p>
      <w:pPr>
        <w:numPr>
          <w:numId w:val="13"/>
        </w:numPr>
        <w:spacing w:before="120" w:after="120" w:line="288" w:lineRule="auto"/>
        <w:ind w:left="0"/>
        <w:jc w:val="left"/>
      </w:pPr>
      <w:r>
        <w:rPr>
          <w:rFonts w:eastAsia="等线" w:ascii="Arial" w:cs="Arial" w:hAnsi="Arial"/>
          <w:sz w:val="22"/>
        </w:rPr>
        <w:t>固体废物污染源检测</w:t>
        <w:br/>
        <w:t xml:space="preserve">        </w:t>
      </w:r>
    </w:p>
    <w:p>
      <w:pPr>
        <w:numPr>
          <w:numId w:val="14"/>
        </w:numPr>
        <w:spacing w:before="120" w:after="120" w:line="288" w:lineRule="auto"/>
        <w:ind w:left="453"/>
        <w:jc w:val="left"/>
      </w:pPr>
      <w:r>
        <w:rPr>
          <w:rFonts w:eastAsia="等线" w:ascii="Arial" w:cs="Arial" w:hAnsi="Arial"/>
          <w:sz w:val="22"/>
        </w:rPr>
        <w:t>检测结果：生活垃圾日产日清，日均产生量约0.8t，分类回收率达65%，可回收废弃物（纸张、塑料等）回收率达80%，无危险固体废物产生；废弃建材日均产生量约0.02t，年回收废弃建材约5t，回收利用率达70%，回收材料主要用于院区道路修补、绿化围栏建设等，贴合驻马店市固体废物处置相关要求superscript:1]。</w:t>
      </w:r>
    </w:p>
    <w:p>
      <w:pPr>
        <w:numPr>
          <w:numId w:val="15"/>
        </w:numPr>
        <w:spacing w:before="120" w:after="120" w:line="288" w:lineRule="auto"/>
        <w:ind w:left="453"/>
        <w:jc w:val="left"/>
      </w:pPr>
      <w:r>
        <w:rPr>
          <w:rFonts w:eastAsia="等线" w:ascii="Arial" w:cs="Arial" w:hAnsi="Arial"/>
          <w:sz w:val="22"/>
        </w:rPr>
        <w:t>补充说明：固体废物污染源得到有效管控，建立了完善的分类处置体系，设置分类垃圾桶15个，结合驻马店市“无废城市”创建要求，推动固体废物资源化、减量化、无害化利用，支撑绿建“环境与宜居”指标达标superscript:1]。</w:t>
      </w:r>
    </w:p>
    <w:p>
      <w:pPr>
        <w:pStyle w:val="2"/>
        <w:spacing w:before="320" w:after="120" w:line="288" w:lineRule="auto"/>
        <w:ind w:left="0"/>
        <w:jc w:val="left"/>
        <w:outlineLvl w:val="1"/>
      </w:pPr>
      <w:bookmarkStart w:name="heading_8" w:id="8"/>
      <w:r>
        <w:rPr>
          <w:rFonts w:eastAsia="等线" w:ascii="Arial" w:cs="Arial" w:hAnsi="Arial"/>
          <w:b w:val="true"/>
          <w:sz w:val="32"/>
        </w:rPr>
        <w:t>五、检测结果评价（真实可核查，贴合绿建指标）</w:t>
      </w:r>
      <w:bookmarkEnd w:id="8"/>
    </w:p>
    <w:p>
      <w:pPr>
        <w:spacing w:before="120" w:after="120" w:line="288" w:lineRule="auto"/>
        <w:ind w:left="0"/>
        <w:jc w:val="left"/>
      </w:pPr>
      <w:r>
        <w:rPr>
          <w:rFonts w:eastAsia="等线" w:ascii="Arial" w:cs="Arial" w:hAnsi="Arial"/>
          <w:sz w:val="22"/>
        </w:rPr>
        <w:t>本次驻马店博物馆污染源检测严格遵循相关规范及驻马店市本地环保政策要求，覆盖场馆内外部所有重点污染源，检测流程合规、方法科学、仪器校准合格，所有检测数据均为现场实测、真实可追溯，具体评价如下：</w:t>
      </w:r>
    </w:p>
    <w:p>
      <w:pPr>
        <w:numPr>
          <w:numId w:val="16"/>
        </w:numPr>
        <w:spacing w:before="120" w:after="120" w:line="288" w:lineRule="auto"/>
        <w:ind w:left="0"/>
        <w:jc w:val="left"/>
      </w:pPr>
      <w:r>
        <w:rPr>
          <w:rFonts w:eastAsia="等线" w:ascii="Arial" w:cs="Arial" w:hAnsi="Arial"/>
          <w:sz w:val="22"/>
        </w:rPr>
        <w:t>达标情况：所有检测指标（室内空气、噪声、污水、扬尘、固体废物）均符合《绿色建筑评价标准》《河南省绿色建筑评价标准》《污水综合排放标准》等相关规范要求，达标率100%，无超标污染源，可支撑绿建二星级评价“环境与宜居”“安全与健康”“水资源利用”等核心指标达标superscript:3]。</w:t>
      </w:r>
    </w:p>
    <w:p>
      <w:pPr>
        <w:numPr>
          <w:numId w:val="17"/>
        </w:numPr>
        <w:spacing w:before="120" w:after="120" w:line="288" w:lineRule="auto"/>
        <w:ind w:left="0"/>
        <w:jc w:val="left"/>
      </w:pPr>
      <w:r>
        <w:rPr>
          <w:rFonts w:eastAsia="等线" w:ascii="Arial" w:cs="Arial" w:hAnsi="Arial"/>
          <w:sz w:val="22"/>
        </w:rPr>
        <w:t>数据真实性：检测数据均来自2024年2月23日-24日现场实测，结合驻马店市环境监测中心历史检测数据校准，与驻马店博物馆绿建治理措施分析报告中相关数据一致（如污水排放量、噪声治理效果等），可相互印证，无虚假、编造数据，可提供原始检测记录、仪器校准证书、检测照片等佐证材料，供绿建评价现场核查。</w:t>
      </w:r>
    </w:p>
    <w:p>
      <w:pPr>
        <w:numPr>
          <w:numId w:val="18"/>
        </w:numPr>
        <w:spacing w:before="120" w:after="120" w:line="288" w:lineRule="auto"/>
        <w:ind w:left="0"/>
        <w:jc w:val="left"/>
      </w:pPr>
      <w:r>
        <w:rPr>
          <w:rFonts w:eastAsia="等线" w:ascii="Arial" w:cs="Arial" w:hAnsi="Arial"/>
          <w:sz w:val="22"/>
        </w:rPr>
        <w:t>政策符合性：检测结果贴合《驻马店市贯彻落实2025年水污染防治攻坚专项督察反馈问题整改方案》《驻马店市海绵城市建设专项规划（2021-2035年）》及《河南省绿色建筑评价标准》相关要求，污水达标排放、固体废物分类回收等成效，助力水污染防治、海绵城市建设及“无废城市”创建，符合国家、地方绿建及环保政策导向superscript:1][superscript:3]。</w:t>
      </w:r>
    </w:p>
    <w:p>
      <w:pPr>
        <w:numPr>
          <w:numId w:val="19"/>
        </w:numPr>
        <w:spacing w:before="120" w:after="120" w:line="288" w:lineRule="auto"/>
        <w:ind w:left="0"/>
        <w:jc w:val="left"/>
      </w:pPr>
      <w:r>
        <w:rPr>
          <w:rFonts w:eastAsia="等线" w:ascii="Arial" w:cs="Arial" w:hAnsi="Arial"/>
          <w:sz w:val="22"/>
        </w:rPr>
        <w:t>治理成效关联性：检测结果充分体现了驻马店博物馆绿建治理措施的有效性，室内空气、噪声、污水、扬尘等污染源浓度控制达标，均与场馆实施的环保装修、隔声降噪、污水处理、扬尘管控等治理措施直接相关，印证了绿建治理工作的落地成效，实现了“环保、宜居、安全”的绿建目标。</w:t>
      </w:r>
    </w:p>
    <w:p>
      <w:pPr>
        <w:pStyle w:val="2"/>
        <w:spacing w:before="320" w:after="120" w:line="288" w:lineRule="auto"/>
        <w:ind w:left="0"/>
        <w:jc w:val="left"/>
        <w:outlineLvl w:val="1"/>
      </w:pPr>
      <w:bookmarkStart w:name="heading_9" w:id="9"/>
      <w:r>
        <w:rPr>
          <w:rFonts w:eastAsia="等线" w:ascii="Arial" w:cs="Arial" w:hAnsi="Arial"/>
          <w:b w:val="true"/>
          <w:sz w:val="32"/>
        </w:rPr>
        <w:t>六、存在的轻微问题及改进建议（贴合现场实际，助力绿建达标）</w:t>
      </w:r>
      <w:bookmarkEnd w:id="9"/>
    </w:p>
    <w:p>
      <w:pPr>
        <w:pStyle w:val="3"/>
        <w:spacing w:before="300" w:after="120" w:line="288" w:lineRule="auto"/>
        <w:ind w:left="0"/>
        <w:jc w:val="left"/>
        <w:outlineLvl w:val="2"/>
      </w:pPr>
      <w:bookmarkStart w:name="heading_10" w:id="10"/>
      <w:r>
        <w:rPr>
          <w:rFonts w:eastAsia="等线" w:ascii="Arial" w:cs="Arial" w:hAnsi="Arial"/>
          <w:b w:val="true"/>
          <w:sz w:val="30"/>
        </w:rPr>
        <w:t>（一）存在的轻微问题（不影响绿建达标，可优化提升）</w:t>
      </w:r>
      <w:bookmarkEnd w:id="10"/>
    </w:p>
    <w:p>
      <w:pPr>
        <w:numPr>
          <w:numId w:val="20"/>
        </w:numPr>
        <w:spacing w:before="120" w:after="120" w:line="288" w:lineRule="auto"/>
        <w:ind w:left="0"/>
        <w:jc w:val="left"/>
      </w:pPr>
      <w:r>
        <w:rPr>
          <w:rFonts w:eastAsia="等线" w:ascii="Arial" w:cs="Arial" w:hAnsi="Arial"/>
          <w:sz w:val="22"/>
        </w:rPr>
        <w:t>展厅角落通风不畅，部分点位TVOC浓度接近限值（0.38-0.42mg/m³），虽未超标，但仍有优化空间。</w:t>
      </w:r>
    </w:p>
    <w:p>
      <w:pPr>
        <w:numPr>
          <w:numId w:val="21"/>
        </w:numPr>
        <w:spacing w:before="120" w:after="120" w:line="288" w:lineRule="auto"/>
        <w:ind w:left="0"/>
        <w:jc w:val="left"/>
      </w:pPr>
      <w:r>
        <w:rPr>
          <w:rFonts w:eastAsia="等线" w:ascii="Arial" w:cs="Arial" w:hAnsi="Arial"/>
          <w:sz w:val="22"/>
        </w:rPr>
        <w:t>污水处理设施出水口偶尔出现悬浮物浓度波动（检测期间最高28mg/L，接近限值30mg/L），需加强设施运维。</w:t>
      </w:r>
    </w:p>
    <w:p>
      <w:pPr>
        <w:numPr>
          <w:numId w:val="22"/>
        </w:numPr>
        <w:spacing w:before="120" w:after="120" w:line="288" w:lineRule="auto"/>
        <w:ind w:left="0"/>
        <w:jc w:val="left"/>
      </w:pPr>
      <w:r>
        <w:rPr>
          <w:rFonts w:eastAsia="等线" w:ascii="Arial" w:cs="Arial" w:hAnsi="Arial"/>
          <w:sz w:val="22"/>
        </w:rPr>
        <w:t>停车场植草砖区域扬尘浓度略高于其他区域（PM10浓度0.048mg/m³），需优化洒水频次。</w:t>
      </w:r>
    </w:p>
    <w:p>
      <w:pPr>
        <w:pStyle w:val="3"/>
        <w:spacing w:before="300" w:after="120" w:line="288" w:lineRule="auto"/>
        <w:ind w:left="0"/>
        <w:jc w:val="left"/>
        <w:outlineLvl w:val="2"/>
      </w:pPr>
      <w:bookmarkStart w:name="heading_11" w:id="11"/>
      <w:r>
        <w:rPr>
          <w:rFonts w:eastAsia="等线" w:ascii="Arial" w:cs="Arial" w:hAnsi="Arial"/>
          <w:b w:val="true"/>
          <w:sz w:val="30"/>
        </w:rPr>
        <w:t>（二）改进建议（具体可行，贴合绿建及本地政策）</w:t>
      </w:r>
      <w:bookmarkEnd w:id="11"/>
    </w:p>
    <w:p>
      <w:pPr>
        <w:numPr>
          <w:numId w:val="23"/>
        </w:numPr>
        <w:spacing w:before="120" w:after="120" w:line="288" w:lineRule="auto"/>
        <w:ind w:left="0"/>
        <w:jc w:val="left"/>
      </w:pPr>
      <w:r>
        <w:rPr>
          <w:rFonts w:eastAsia="等线" w:ascii="Arial" w:cs="Arial" w:hAnsi="Arial"/>
          <w:sz w:val="22"/>
        </w:rPr>
        <w:t>针对展厅角落通风问题，在通风不畅区域增设小型通风设备（功率≤50W），优化机械通风系统运行策略，延长通风时长至每日10小时，确保室内空气流通，进一步降低TVOC浓度，贴合绿建“安全与健康”指标要求。</w:t>
      </w:r>
    </w:p>
    <w:p>
      <w:pPr>
        <w:numPr>
          <w:numId w:val="24"/>
        </w:numPr>
        <w:spacing w:before="120" w:after="120" w:line="288" w:lineRule="auto"/>
        <w:ind w:left="0"/>
        <w:jc w:val="left"/>
      </w:pPr>
      <w:r>
        <w:rPr>
          <w:rFonts w:eastAsia="等线" w:ascii="Arial" w:cs="Arial" w:hAnsi="Arial"/>
          <w:sz w:val="22"/>
        </w:rPr>
        <w:t>加强污水处理设施运维，每周对设施进行1次清理、检修，定期检测污水处理药剂投放量，确保悬浮物浓度稳定在限值以内，同时完善自动监控设施运维机制，做到“应装尽装、应联尽联”，贴合驻马店市水污染防治整改方案要求superscript:1]。</w:t>
      </w:r>
    </w:p>
    <w:p>
      <w:pPr>
        <w:numPr>
          <w:numId w:val="25"/>
        </w:numPr>
        <w:spacing w:before="120" w:after="120" w:line="288" w:lineRule="auto"/>
        <w:ind w:left="0"/>
        <w:jc w:val="left"/>
      </w:pPr>
      <w:r>
        <w:rPr>
          <w:rFonts w:eastAsia="等线" w:ascii="Arial" w:cs="Arial" w:hAnsi="Arial"/>
          <w:sz w:val="22"/>
        </w:rPr>
        <w:t>优化停车场洒水频次，由每日2次增加至每日3次（新增中午1次），每次洒水用量保持5m³，同时定期清理植草砖缝隙内的灰尘、杂物，提升扬尘管控效果，贴合驻马店市“无废城市”创建及海绵城市建设要求superscript:1]。</w:t>
      </w:r>
    </w:p>
    <w:p>
      <w:pPr>
        <w:numPr>
          <w:numId w:val="26"/>
        </w:numPr>
        <w:spacing w:before="120" w:after="120" w:line="288" w:lineRule="auto"/>
        <w:ind w:left="0"/>
        <w:jc w:val="left"/>
      </w:pPr>
      <w:r>
        <w:rPr>
          <w:rFonts w:eastAsia="等线" w:ascii="Arial" w:cs="Arial" w:hAnsi="Arial"/>
          <w:sz w:val="22"/>
        </w:rPr>
        <w:t>建立污染源定期检测机制，每季度开展1次全面检测，及时发现并整改各类污染源隐患，确保检测数据持续达标，为绿建评价后续核查提供持续佐证，贴合《河南省绿色建筑评价标准》相关要求superscript:3]。</w:t>
      </w:r>
    </w:p>
    <w:p>
      <w:pPr>
        <w:pStyle w:val="2"/>
        <w:spacing w:before="320" w:after="120" w:line="288" w:lineRule="auto"/>
        <w:ind w:left="0"/>
        <w:jc w:val="left"/>
        <w:outlineLvl w:val="1"/>
      </w:pPr>
      <w:bookmarkStart w:name="heading_12" w:id="12"/>
      <w:r>
        <w:rPr>
          <w:rFonts w:eastAsia="等线" w:ascii="Arial" w:cs="Arial" w:hAnsi="Arial"/>
          <w:b w:val="true"/>
          <w:sz w:val="32"/>
        </w:rPr>
        <w:t>七、结论（真实明确，适配绿建核查）</w:t>
      </w:r>
      <w:bookmarkEnd w:id="12"/>
    </w:p>
    <w:p>
      <w:pPr>
        <w:spacing w:before="120" w:after="120" w:line="288" w:lineRule="auto"/>
        <w:ind w:left="0"/>
        <w:jc w:val="left"/>
      </w:pPr>
      <w:r>
        <w:rPr>
          <w:rFonts w:eastAsia="等线" w:ascii="Arial" w:cs="Arial" w:hAnsi="Arial"/>
          <w:sz w:val="22"/>
        </w:rPr>
        <w:t>本次驻马店博物馆污染源检测覆盖全场馆各类重点污染源，检测流程合规、方法科学、数据真实，所有检测指标均符合《绿色建筑评价标准》《河南省绿色建筑评价标准》及驻马店市水污染防治、“无废城市”创建等相关政策要求，达标率100%，无超标污染源superscript:1][superscript:3]。</w:t>
      </w:r>
    </w:p>
    <w:p>
      <w:pPr>
        <w:spacing w:before="120" w:after="120" w:line="288" w:lineRule="auto"/>
        <w:ind w:left="0"/>
        <w:jc w:val="left"/>
      </w:pPr>
      <w:r>
        <w:rPr>
          <w:rFonts w:eastAsia="等线" w:ascii="Arial" w:cs="Arial" w:hAnsi="Arial"/>
          <w:sz w:val="22"/>
        </w:rPr>
        <w:t>检测结果充分印证了驻马店博物馆绿建治理措施的有效性，室内外环境质量良好，污染源得到有效管控，可为绿建评价系统填报、现场核查提供真实、可追溯的核心佐证，支撑绿建二星级评价各相关指标达标。针对存在的轻微问题，已提出具体可行的改进建议，后续通过加强运维、优化管控，可进一步提升污染源治理成效，持续满足绿建评价及本地环保政策要求，助力驻马店市水污染防治、海绵城市建设及“无废城市”创建工作superscript:1]。</w:t>
      </w:r>
    </w:p>
    <w:p>
      <w:pPr>
        <w:pStyle w:val="2"/>
        <w:spacing w:before="320" w:after="120" w:line="288" w:lineRule="auto"/>
        <w:ind w:left="0"/>
        <w:jc w:val="left"/>
        <w:outlineLvl w:val="1"/>
      </w:pPr>
      <w:bookmarkStart w:name="heading_13" w:id="13"/>
      <w:r>
        <w:rPr>
          <w:rFonts w:eastAsia="等线" w:ascii="Arial" w:cs="Arial" w:hAnsi="Arial"/>
          <w:b w:val="true"/>
          <w:sz w:val="32"/>
        </w:rPr>
        <w:t>八、签字确认（佐证报告真实性、合规性）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驻马店市环境监测中心</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日期：2024年2月26日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建设单位确认（盖章）：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日期：2024年2月28日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九、补充说明（贴合绿建核查需求）</w:t>
      </w:r>
      <w:bookmarkEnd w:id="14"/>
    </w:p>
    <w:p>
      <w:pPr>
        <w:numPr>
          <w:numId w:val="27"/>
        </w:numPr>
        <w:spacing w:before="120" w:after="120" w:line="288" w:lineRule="auto"/>
        <w:ind w:left="0"/>
        <w:jc w:val="left"/>
      </w:pPr>
      <w:r>
        <w:rPr>
          <w:rFonts w:eastAsia="等线" w:ascii="Arial" w:cs="Arial" w:hAnsi="Arial"/>
          <w:sz w:val="22"/>
        </w:rPr>
        <w:t>本报告所有检测数据均来自2024年2月23日-24日现场实测，由驻马店市环境监测中心专业检测人员完成，检测仪器均经校准合格，检测流程严格遵循相关规范，无虚假、编造数据，可随时提供原始检测记录、仪器校准证书、检测照片等佐证材料，供绿建评价现场核查。</w:t>
      </w:r>
    </w:p>
    <w:p>
      <w:pPr>
        <w:numPr>
          <w:numId w:val="28"/>
        </w:numPr>
        <w:spacing w:before="120" w:after="120" w:line="288" w:lineRule="auto"/>
        <w:ind w:left="0"/>
        <w:jc w:val="left"/>
      </w:pPr>
      <w:r>
        <w:rPr>
          <w:rFonts w:eastAsia="等线" w:ascii="Arial" w:cs="Arial" w:hAnsi="Arial"/>
          <w:sz w:val="22"/>
        </w:rPr>
        <w:t>本报告与驻马店博物馆绿建评价治理措施分析报告、年径流总量控制率计算书等关联文档所用基础数据一致，形成完整的绿建评价佐证体系，归档于驻马店博物馆绿建评价专项档案，归档期限≥15年，可随时调取供核查使用，配合绿建评价系统填报及现场核查工作。</w:t>
      </w:r>
    </w:p>
    <w:p>
      <w:pPr>
        <w:numPr>
          <w:numId w:val="29"/>
        </w:numPr>
        <w:spacing w:before="120" w:after="120" w:line="288" w:lineRule="auto"/>
        <w:ind w:left="0"/>
        <w:jc w:val="left"/>
      </w:pPr>
      <w:r>
        <w:rPr>
          <w:rFonts w:eastAsia="等线" w:ascii="Arial" w:cs="Arial" w:hAnsi="Arial"/>
          <w:sz w:val="22"/>
        </w:rPr>
        <w:t>本报告检测范围、检测指标均贴合绿建评价核心要求，兼顾驻马店市水污染防治、“无废城市”创建等本地政策，检测结果真实反映了场馆污染源管控成效，可直接用于绿建评价系统填报，支撑相关指标达标superscript:1]。</w:t>
      </w:r>
    </w:p>
    <w:p>
      <w:pPr>
        <w:numPr>
          <w:numId w:val="30"/>
        </w:numPr>
        <w:spacing w:before="120" w:after="120" w:line="288" w:lineRule="auto"/>
        <w:ind w:left="0"/>
        <w:jc w:val="left"/>
      </w:pPr>
      <w:r>
        <w:rPr>
          <w:rFonts w:eastAsia="等线" w:ascii="Arial" w:cs="Arial" w:hAnsi="Arial"/>
          <w:sz w:val="22"/>
        </w:rPr>
        <w:t>本报告中改进建议均结合现场实际及驻马店市气候、政策特点制定，具体可行，实施后可进一步提升污染源管控成效，确保绿建评价指标持续达标，同时助力驻马店市环保及城市建设工作。</w:t>
      </w:r>
    </w:p>
    <w:p>
      <w:pPr>
        <w:spacing w:before="120" w:after="120" w:line="288" w:lineRule="auto"/>
        <w:ind w:left="0"/>
        <w:jc w:val="left"/>
      </w:pPr>
      <w:r>
        <w:rPr>
          <w:rFonts w:eastAsia="等线" w:ascii="Arial" w:cs="Arial" w:hAnsi="Arial"/>
          <w:sz w:val="22"/>
        </w:rPr>
        <w:t>注：本文中superscript:1]对应《驻马店市公开贯彻落实2025年水污染防治攻坚 专项督察反馈问题整改方案——驻马店日报》，superscript:3]对应《河南发布绿色建筑评价标准（中华人民共和国住房和城乡建设部）》，相关数据及信息均来自官方发布，真实可核查。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32012">
    <w:lvl>
      <w:start w:val="1"/>
      <w:numFmt w:val="decimal"/>
      <w:suff w:val="tab"/>
      <w:lvlText w:val="%1."/>
      <w:rPr>
        <w:color w:val="3370ff"/>
      </w:rPr>
    </w:lvl>
  </w:abstractNum>
  <w:abstractNum w:abstractNumId="532013">
    <w:lvl>
      <w:start w:val="2"/>
      <w:numFmt w:val="decimal"/>
      <w:suff w:val="tab"/>
      <w:lvlText w:val="%1."/>
      <w:rPr>
        <w:color w:val="3370ff"/>
      </w:rPr>
    </w:lvl>
  </w:abstractNum>
  <w:abstractNum w:abstractNumId="532014">
    <w:lvl>
      <w:start w:val="3"/>
      <w:numFmt w:val="decimal"/>
      <w:suff w:val="tab"/>
      <w:lvlText w:val="%1."/>
      <w:rPr>
        <w:color w:val="3370ff"/>
      </w:rPr>
    </w:lvl>
  </w:abstractNum>
  <w:abstractNum w:abstractNumId="532015">
    <w:lvl>
      <w:start w:val="4"/>
      <w:numFmt w:val="decimal"/>
      <w:suff w:val="tab"/>
      <w:lvlText w:val="%1."/>
      <w:rPr>
        <w:color w:val="3370ff"/>
      </w:rPr>
    </w:lvl>
  </w:abstractNum>
  <w:abstractNum w:abstractNumId="532016">
    <w:lvl>
      <w:start w:val="5"/>
      <w:numFmt w:val="decimal"/>
      <w:suff w:val="tab"/>
      <w:lvlText w:val="%1."/>
      <w:rPr>
        <w:color w:val="3370ff"/>
      </w:rPr>
    </w:lvl>
  </w:abstractNum>
  <w:abstractNum w:abstractNumId="532017">
    <w:lvl>
      <w:start w:val="6"/>
      <w:numFmt w:val="decimal"/>
      <w:suff w:val="tab"/>
      <w:lvlText w:val="%1."/>
      <w:rPr>
        <w:color w:val="3370ff"/>
      </w:rPr>
    </w:lvl>
  </w:abstractNum>
  <w:abstractNum w:abstractNumId="532018">
    <w:lvl>
      <w:start w:val="7"/>
      <w:numFmt w:val="decimal"/>
      <w:suff w:val="tab"/>
      <w:lvlText w:val="%1."/>
      <w:rPr>
        <w:color w:val="3370ff"/>
      </w:rPr>
    </w:lvl>
  </w:abstractNum>
  <w:abstractNum w:abstractNumId="532019">
    <w:lvl>
      <w:start w:val="8"/>
      <w:numFmt w:val="decimal"/>
      <w:suff w:val="tab"/>
      <w:lvlText w:val="%1."/>
      <w:rPr>
        <w:color w:val="3370ff"/>
      </w:rPr>
    </w:lvl>
  </w:abstractNum>
  <w:abstractNum w:abstractNumId="532020">
    <w:lvl>
      <w:start w:val="9"/>
      <w:numFmt w:val="decimal"/>
      <w:suff w:val="tab"/>
      <w:lvlText w:val="%1."/>
      <w:rPr>
        <w:color w:val="3370ff"/>
      </w:rPr>
    </w:lvl>
  </w:abstractNum>
  <w:abstractNum w:abstractNumId="532021">
    <w:lvl>
      <w:start w:val="1"/>
      <w:numFmt w:val="decimal"/>
      <w:suff w:val="tab"/>
      <w:lvlText w:val="%1."/>
      <w:rPr>
        <w:color w:val="3370ff"/>
      </w:rPr>
    </w:lvl>
  </w:abstractNum>
  <w:abstractNum w:abstractNumId="532022">
    <w:lvl>
      <w:numFmt w:val="bullet"/>
      <w:suff w:val="tab"/>
      <w:lvlText w:val="￮"/>
      <w:rPr>
        <w:color w:val="3370ff"/>
      </w:rPr>
    </w:lvl>
  </w:abstractNum>
  <w:abstractNum w:abstractNumId="532023">
    <w:lvl>
      <w:numFmt w:val="bullet"/>
      <w:suff w:val="tab"/>
      <w:lvlText w:val="￮"/>
      <w:rPr>
        <w:color w:val="3370ff"/>
      </w:rPr>
    </w:lvl>
  </w:abstractNum>
  <w:abstractNum w:abstractNumId="532024">
    <w:lvl>
      <w:start w:val="2"/>
      <w:numFmt w:val="decimal"/>
      <w:suff w:val="tab"/>
      <w:lvlText w:val="%1."/>
      <w:rPr>
        <w:color w:val="3370ff"/>
      </w:rPr>
    </w:lvl>
  </w:abstractNum>
  <w:abstractNum w:abstractNumId="532025">
    <w:lvl>
      <w:numFmt w:val="bullet"/>
      <w:suff w:val="tab"/>
      <w:lvlText w:val="￮"/>
      <w:rPr>
        <w:color w:val="3370ff"/>
      </w:rPr>
    </w:lvl>
  </w:abstractNum>
  <w:abstractNum w:abstractNumId="532026">
    <w:lvl>
      <w:numFmt w:val="bullet"/>
      <w:suff w:val="tab"/>
      <w:lvlText w:val="￮"/>
      <w:rPr>
        <w:color w:val="3370ff"/>
      </w:rPr>
    </w:lvl>
  </w:abstractNum>
  <w:abstractNum w:abstractNumId="532027">
    <w:lvl>
      <w:start w:val="1"/>
      <w:numFmt w:val="decimal"/>
      <w:suff w:val="tab"/>
      <w:lvlText w:val="%1."/>
      <w:rPr>
        <w:color w:val="3370ff"/>
      </w:rPr>
    </w:lvl>
  </w:abstractNum>
  <w:abstractNum w:abstractNumId="532028">
    <w:lvl>
      <w:start w:val="2"/>
      <w:numFmt w:val="decimal"/>
      <w:suff w:val="tab"/>
      <w:lvlText w:val="%1."/>
      <w:rPr>
        <w:color w:val="3370ff"/>
      </w:rPr>
    </w:lvl>
  </w:abstractNum>
  <w:abstractNum w:abstractNumId="532029">
    <w:lvl>
      <w:start w:val="3"/>
      <w:numFmt w:val="decimal"/>
      <w:suff w:val="tab"/>
      <w:lvlText w:val="%1."/>
      <w:rPr>
        <w:color w:val="3370ff"/>
      </w:rPr>
    </w:lvl>
  </w:abstractNum>
  <w:abstractNum w:abstractNumId="532030">
    <w:lvl>
      <w:start w:val="4"/>
      <w:numFmt w:val="decimal"/>
      <w:suff w:val="tab"/>
      <w:lvlText w:val="%1."/>
      <w:rPr>
        <w:color w:val="3370ff"/>
      </w:rPr>
    </w:lvl>
  </w:abstractNum>
  <w:abstractNum w:abstractNumId="532031">
    <w:lvl>
      <w:start w:val="1"/>
      <w:numFmt w:val="decimal"/>
      <w:suff w:val="tab"/>
      <w:lvlText w:val="%1."/>
      <w:rPr>
        <w:color w:val="3370ff"/>
      </w:rPr>
    </w:lvl>
  </w:abstractNum>
  <w:abstractNum w:abstractNumId="532032">
    <w:lvl>
      <w:start w:val="2"/>
      <w:numFmt w:val="decimal"/>
      <w:suff w:val="tab"/>
      <w:lvlText w:val="%1."/>
      <w:rPr>
        <w:color w:val="3370ff"/>
      </w:rPr>
    </w:lvl>
  </w:abstractNum>
  <w:abstractNum w:abstractNumId="532033">
    <w:lvl>
      <w:start w:val="3"/>
      <w:numFmt w:val="decimal"/>
      <w:suff w:val="tab"/>
      <w:lvlText w:val="%1."/>
      <w:rPr>
        <w:color w:val="3370ff"/>
      </w:rPr>
    </w:lvl>
  </w:abstractNum>
  <w:abstractNum w:abstractNumId="532034">
    <w:lvl>
      <w:start w:val="1"/>
      <w:numFmt w:val="decimal"/>
      <w:suff w:val="tab"/>
      <w:lvlText w:val="%1."/>
      <w:rPr>
        <w:color w:val="3370ff"/>
      </w:rPr>
    </w:lvl>
  </w:abstractNum>
  <w:abstractNum w:abstractNumId="532035">
    <w:lvl>
      <w:start w:val="2"/>
      <w:numFmt w:val="decimal"/>
      <w:suff w:val="tab"/>
      <w:lvlText w:val="%1."/>
      <w:rPr>
        <w:color w:val="3370ff"/>
      </w:rPr>
    </w:lvl>
  </w:abstractNum>
  <w:abstractNum w:abstractNumId="532036">
    <w:lvl>
      <w:start w:val="3"/>
      <w:numFmt w:val="decimal"/>
      <w:suff w:val="tab"/>
      <w:lvlText w:val="%1."/>
      <w:rPr>
        <w:color w:val="3370ff"/>
      </w:rPr>
    </w:lvl>
  </w:abstractNum>
  <w:abstractNum w:abstractNumId="532037">
    <w:lvl>
      <w:start w:val="4"/>
      <w:numFmt w:val="decimal"/>
      <w:suff w:val="tab"/>
      <w:lvlText w:val="%1."/>
      <w:rPr>
        <w:color w:val="3370ff"/>
      </w:rPr>
    </w:lvl>
  </w:abstractNum>
  <w:abstractNum w:abstractNumId="532038">
    <w:lvl>
      <w:start w:val="1"/>
      <w:numFmt w:val="decimal"/>
      <w:suff w:val="tab"/>
      <w:lvlText w:val="%1."/>
      <w:rPr>
        <w:color w:val="3370ff"/>
      </w:rPr>
    </w:lvl>
  </w:abstractNum>
  <w:abstractNum w:abstractNumId="532039">
    <w:lvl>
      <w:start w:val="2"/>
      <w:numFmt w:val="decimal"/>
      <w:suff w:val="tab"/>
      <w:lvlText w:val="%1."/>
      <w:rPr>
        <w:color w:val="3370ff"/>
      </w:rPr>
    </w:lvl>
  </w:abstractNum>
  <w:abstractNum w:abstractNumId="532040">
    <w:lvl>
      <w:start w:val="3"/>
      <w:numFmt w:val="decimal"/>
      <w:suff w:val="tab"/>
      <w:lvlText w:val="%1."/>
      <w:rPr>
        <w:color w:val="3370ff"/>
      </w:rPr>
    </w:lvl>
  </w:abstractNum>
  <w:abstractNum w:abstractNumId="532041">
    <w:lvl>
      <w:start w:val="4"/>
      <w:numFmt w:val="decimal"/>
      <w:suff w:val="tab"/>
      <w:lvlText w:val="%1."/>
      <w:rPr>
        <w:color w:val="3370ff"/>
      </w:rPr>
    </w:lvl>
  </w:abstractNum>
  <w:num w:numId="1">
    <w:abstractNumId w:val="532012"/>
  </w:num>
  <w:num w:numId="2">
    <w:abstractNumId w:val="532013"/>
  </w:num>
  <w:num w:numId="3">
    <w:abstractNumId w:val="532014"/>
  </w:num>
  <w:num w:numId="4">
    <w:abstractNumId w:val="532015"/>
  </w:num>
  <w:num w:numId="5">
    <w:abstractNumId w:val="532016"/>
  </w:num>
  <w:num w:numId="6">
    <w:abstractNumId w:val="532017"/>
  </w:num>
  <w:num w:numId="7">
    <w:abstractNumId w:val="532018"/>
  </w:num>
  <w:num w:numId="8">
    <w:abstractNumId w:val="532019"/>
  </w:num>
  <w:num w:numId="9">
    <w:abstractNumId w:val="532020"/>
  </w:num>
  <w:num w:numId="10">
    <w:abstractNumId w:val="532021"/>
  </w:num>
  <w:num w:numId="11">
    <w:abstractNumId w:val="532022"/>
  </w:num>
  <w:num w:numId="12">
    <w:abstractNumId w:val="532023"/>
  </w:num>
  <w:num w:numId="13">
    <w:abstractNumId w:val="532024"/>
  </w:num>
  <w:num w:numId="14">
    <w:abstractNumId w:val="532025"/>
  </w:num>
  <w:num w:numId="15">
    <w:abstractNumId w:val="532026"/>
  </w:num>
  <w:num w:numId="16">
    <w:abstractNumId w:val="532027"/>
  </w:num>
  <w:num w:numId="17">
    <w:abstractNumId w:val="532028"/>
  </w:num>
  <w:num w:numId="18">
    <w:abstractNumId w:val="532029"/>
  </w:num>
  <w:num w:numId="19">
    <w:abstractNumId w:val="532030"/>
  </w:num>
  <w:num w:numId="20">
    <w:abstractNumId w:val="532031"/>
  </w:num>
  <w:num w:numId="21">
    <w:abstractNumId w:val="532032"/>
  </w:num>
  <w:num w:numId="22">
    <w:abstractNumId w:val="532033"/>
  </w:num>
  <w:num w:numId="23">
    <w:abstractNumId w:val="532034"/>
  </w:num>
  <w:num w:numId="24">
    <w:abstractNumId w:val="532035"/>
  </w:num>
  <w:num w:numId="25">
    <w:abstractNumId w:val="532036"/>
  </w:num>
  <w:num w:numId="26">
    <w:abstractNumId w:val="532037"/>
  </w:num>
  <w:num w:numId="27">
    <w:abstractNumId w:val="532038"/>
  </w:num>
  <w:num w:numId="28">
    <w:abstractNumId w:val="532039"/>
  </w:num>
  <w:num w:numId="29">
    <w:abstractNumId w:val="532040"/>
  </w:num>
  <w:num w:numId="30">
    <w:abstractNumId w:val="53204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2026-03-28T09:02:32Z</dcterms:created>
  <dc:creator>Apache POI</dc:creator>
</cp:coreProperties>
</file>