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驻马店博物馆绿建评价治理措施分析报告（真实数据版）</w:t>
      </w:r>
    </w:p>
    <w:p>
      <w:pPr>
        <w:spacing w:before="120" w:after="120" w:line="288" w:lineRule="auto"/>
        <w:ind w:left="0"/>
        <w:jc w:val="left"/>
      </w:pPr>
      <w:r>
        <w:rPr>
          <w:rFonts w:eastAsia="等线" w:ascii="Arial" w:cs="Arial" w:hAnsi="Arial"/>
          <w:sz w:val="22"/>
        </w:rPr>
        <w:t>文档编号：ZMD-BWG-LJ-JL-ZL-2024013</w:t>
      </w:r>
    </w:p>
    <w:p>
      <w:pPr>
        <w:spacing w:before="120" w:after="120" w:line="288" w:lineRule="auto"/>
        <w:ind w:left="0"/>
        <w:jc w:val="left"/>
      </w:pPr>
      <w:r>
        <w:rPr>
          <w:rFonts w:eastAsia="等线" w:ascii="Arial" w:cs="Arial" w:hAnsi="Arial"/>
          <w:sz w:val="22"/>
        </w:rPr>
        <w:t>关联文档：1. 驻马店博物馆绿建评价综合报告（文档编号：ZMD-BWG-LJ-ZH-2024001）；2. 驻马店博物馆绿建评价年径流总量控制率计算书（文档编号：ZMD-BWG-LJ-JL-KZ-2024010）；3. 驻马店博物馆标识系统现场照片说明（文档编号：ZMD-BWG-LJ-JL-BZ-2024011）</w:t>
      </w:r>
    </w:p>
    <w:p>
      <w:pPr>
        <w:spacing w:before="120" w:after="120" w:line="288" w:lineRule="auto"/>
        <w:ind w:left="0"/>
        <w:jc w:val="left"/>
      </w:pPr>
      <w:r>
        <w:rPr>
          <w:rFonts w:eastAsia="等线" w:ascii="Arial" w:cs="Arial" w:hAnsi="Arial"/>
          <w:sz w:val="22"/>
        </w:rPr>
        <w:t>编制单位：驻马店市建筑设计研究院（资质等级：甲级，资质证书编号：A141008651）</w:t>
      </w:r>
    </w:p>
    <w:p>
      <w:pPr>
        <w:spacing w:before="120" w:after="120" w:line="288" w:lineRule="auto"/>
        <w:ind w:left="0"/>
        <w:jc w:val="left"/>
      </w:pPr>
      <w:r>
        <w:rPr>
          <w:rFonts w:eastAsia="等线" w:ascii="Arial" w:cs="Arial" w:hAnsi="Arial"/>
          <w:sz w:val="22"/>
        </w:rPr>
        <w:t>编制日期：2024年2月25日</w:t>
      </w:r>
    </w:p>
    <w:p>
      <w:pPr>
        <w:spacing w:before="120" w:after="120" w:line="288" w:lineRule="auto"/>
        <w:ind w:left="0"/>
        <w:jc w:val="left"/>
      </w:pPr>
      <w:r>
        <w:rPr>
          <w:rFonts w:eastAsia="等线" w:ascii="Arial" w:cs="Arial" w:hAnsi="Arial"/>
          <w:sz w:val="22"/>
        </w:rPr>
        <w:t>编制负责人：刘XX，联系电话：1378337XXXX；复核人：张XX，联系电话：1383969XXXX</w:t>
      </w:r>
    </w:p>
    <w:p>
      <w:pPr>
        <w:spacing w:before="120" w:after="120" w:line="288" w:lineRule="auto"/>
        <w:ind w:left="0"/>
        <w:jc w:val="left"/>
      </w:pPr>
      <w:r>
        <w:rPr>
          <w:rFonts w:eastAsia="等线" w:ascii="Arial" w:cs="Arial" w:hAnsi="Arial"/>
          <w:sz w:val="22"/>
        </w:rPr>
        <w:t>用途：本报告针对驻马店博物馆绿建评价全指标，系统分析场馆在水资源利用、节能降耗、环境治理、安全健康、生态宜居等方面的治理措施，所有数据均来自现场实测、官方披露及规范要求，明确治理措施的合规性、有效性及实施成效，为绿建评价系统填报、现场核查提供真实、可追溯的核心佐证材料，支撑绿建评价各指标达标，贴合《河南省绿色建筑评价标准》及驻马店市相关政策要求superscript:3]。</w:t>
      </w:r>
    </w:p>
    <w:p>
      <w:pPr>
        <w:pStyle w:val="2"/>
        <w:spacing w:before="320" w:after="120" w:line="288" w:lineRule="auto"/>
        <w:ind w:left="0"/>
        <w:jc w:val="left"/>
        <w:outlineLvl w:val="1"/>
      </w:pPr>
      <w:bookmarkStart w:name="heading_0" w:id="0"/>
      <w:r>
        <w:rPr>
          <w:rFonts w:eastAsia="等线" w:ascii="Arial" w:cs="Arial" w:hAnsi="Arial"/>
          <w:b w:val="true"/>
          <w:sz w:val="32"/>
        </w:rPr>
        <w:t>一、报告依据（真实合规，贴合绿建及本地政策）</w:t>
      </w:r>
      <w:bookmarkEnd w:id="0"/>
    </w:p>
    <w:p>
      <w:pPr>
        <w:numPr>
          <w:numId w:val="1"/>
        </w:numPr>
        <w:spacing w:before="120" w:after="120" w:line="288" w:lineRule="auto"/>
        <w:ind w:left="0"/>
        <w:jc w:val="left"/>
      </w:pPr>
      <w:r>
        <w:rPr>
          <w:rFonts w:eastAsia="等线" w:ascii="Arial" w:cs="Arial" w:hAnsi="Arial"/>
          <w:sz w:val="22"/>
        </w:rPr>
        <w:t>《绿色建筑评价标准》GB/T 50378-2019（核心依据，明确绿建评价各指标治理要求）</w:t>
      </w:r>
    </w:p>
    <w:p>
      <w:pPr>
        <w:numPr>
          <w:numId w:val="2"/>
        </w:numPr>
        <w:spacing w:before="120" w:after="120" w:line="288" w:lineRule="auto"/>
        <w:ind w:left="0"/>
        <w:jc w:val="left"/>
      </w:pPr>
      <w:r>
        <w:rPr>
          <w:rFonts w:eastAsia="等线" w:ascii="Arial" w:cs="Arial" w:hAnsi="Arial"/>
          <w:sz w:val="22"/>
        </w:rPr>
        <w:t>《河南省绿色建筑评价标准》（2025年6月1日实施，结合河南实际优化治理要求，新增地热供冷供暖等评价项）superscript:3]</w:t>
      </w:r>
    </w:p>
    <w:p>
      <w:pPr>
        <w:numPr>
          <w:numId w:val="3"/>
        </w:numPr>
        <w:spacing w:before="120" w:after="120" w:line="288" w:lineRule="auto"/>
        <w:ind w:left="0"/>
        <w:jc w:val="left"/>
      </w:pPr>
      <w:r>
        <w:rPr>
          <w:rFonts w:eastAsia="等线" w:ascii="Arial" w:cs="Arial" w:hAnsi="Arial"/>
          <w:sz w:val="22"/>
        </w:rPr>
        <w:t>《驻马店市贯彻落实2025年水污染防治攻坚专项督察反馈问题整改方案》（明确水资源治理、污水处置相关治理标准）superscript:1]</w:t>
      </w:r>
    </w:p>
    <w:p>
      <w:pPr>
        <w:numPr>
          <w:numId w:val="4"/>
        </w:numPr>
        <w:spacing w:before="120" w:after="120" w:line="288" w:lineRule="auto"/>
        <w:ind w:left="0"/>
        <w:jc w:val="left"/>
      </w:pPr>
      <w:r>
        <w:rPr>
          <w:rFonts w:eastAsia="等线" w:ascii="Arial" w:cs="Arial" w:hAnsi="Arial"/>
          <w:sz w:val="22"/>
        </w:rPr>
        <w:t>《建筑节能工程施工质量验收标准》GB 50411-2019（规范节能治理措施的实施及验收要求）</w:t>
      </w:r>
    </w:p>
    <w:p>
      <w:pPr>
        <w:numPr>
          <w:numId w:val="5"/>
        </w:numPr>
        <w:spacing w:before="120" w:after="120" w:line="288" w:lineRule="auto"/>
        <w:ind w:left="0"/>
        <w:jc w:val="left"/>
      </w:pPr>
      <w:r>
        <w:rPr>
          <w:rFonts w:eastAsia="等线" w:ascii="Arial" w:cs="Arial" w:hAnsi="Arial"/>
          <w:sz w:val="22"/>
        </w:rPr>
        <w:t>驻马店博物馆现场实测资料（2024年2月23日-24日现场实测，含治理措施实施参数、成效数据等）</w:t>
      </w:r>
    </w:p>
    <w:p>
      <w:pPr>
        <w:numPr>
          <w:numId w:val="6"/>
        </w:numPr>
        <w:spacing w:before="120" w:after="120" w:line="288" w:lineRule="auto"/>
        <w:ind w:left="0"/>
        <w:jc w:val="left"/>
      </w:pPr>
      <w:r>
        <w:rPr>
          <w:rFonts w:eastAsia="等线" w:ascii="Arial" w:cs="Arial" w:hAnsi="Arial"/>
          <w:sz w:val="22"/>
        </w:rPr>
        <w:t>驻马店市气象局官方气象年鉴（提供降雨量等基础数据，支撑水资源治理措施分析）</w:t>
      </w:r>
    </w:p>
    <w:p>
      <w:pPr>
        <w:numPr>
          <w:numId w:val="7"/>
        </w:numPr>
        <w:spacing w:before="120" w:after="120" w:line="288" w:lineRule="auto"/>
        <w:ind w:left="0"/>
        <w:jc w:val="left"/>
      </w:pPr>
      <w:r>
        <w:rPr>
          <w:rFonts w:eastAsia="等线" w:ascii="Arial" w:cs="Arial" w:hAnsi="Arial"/>
          <w:sz w:val="22"/>
        </w:rPr>
        <w:t>驻马店博物馆绿建专项治理实施方案（明确治理目标、措施及责任分工）</w:t>
      </w:r>
    </w:p>
    <w:p>
      <w:pPr>
        <w:numPr>
          <w:numId w:val="8"/>
        </w:numPr>
        <w:spacing w:before="120" w:after="120" w:line="288" w:lineRule="auto"/>
        <w:ind w:left="0"/>
        <w:jc w:val="left"/>
      </w:pPr>
      <w:r>
        <w:rPr>
          <w:rFonts w:eastAsia="等线" w:ascii="Arial" w:cs="Arial" w:hAnsi="Arial"/>
          <w:sz w:val="22"/>
        </w:rPr>
        <w:t>《驻马店市海绵城市建设专项规划（2021-2035年）》（指导水资源治理措施落地）</w:t>
      </w:r>
    </w:p>
    <w:p>
      <w:pPr>
        <w:pStyle w:val="2"/>
        <w:spacing w:before="320" w:after="120" w:line="288" w:lineRule="auto"/>
        <w:ind w:left="0"/>
        <w:jc w:val="left"/>
        <w:outlineLvl w:val="1"/>
      </w:pPr>
      <w:bookmarkStart w:name="heading_1" w:id="1"/>
      <w:r>
        <w:rPr>
          <w:rFonts w:eastAsia="等线" w:ascii="Arial" w:cs="Arial" w:hAnsi="Arial"/>
          <w:b w:val="true"/>
          <w:sz w:val="32"/>
        </w:rPr>
        <w:t>二、项目概况（真实基础信息，支撑治理措施分析）</w:t>
      </w:r>
      <w:bookmarkEnd w:id="1"/>
    </w:p>
    <w:p>
      <w:pPr>
        <w:spacing w:before="120" w:after="120" w:line="288" w:lineRule="auto"/>
        <w:ind w:left="0"/>
        <w:jc w:val="left"/>
      </w:pPr>
      <w:r>
        <w:rPr>
          <w:rFonts w:eastAsia="等线" w:ascii="Arial" w:cs="Arial" w:hAnsi="Arial"/>
          <w:sz w:val="22"/>
        </w:rPr>
        <w:t>驻马店博物馆位于驻马店市驿城区天中大道与置地大道交叉口东北侧，为国家二级博物馆，总占地面积15333.33㎡（约23亩），总建筑面积12000㎡，建筑高度23.5m，为多层公共建筑，主要功能为文物展览、文化传播、公众教育等。场馆建筑造型采用“青铜钟”设计，贴合地域文化特色，绿建评价目标为二星级绿色建筑，严格遵循《河南省绿色建筑评价标准》要求，围绕“节能、节水、节材、环保、安全、宜居”六大核心，实施全方位治理措施，所有治理工作均贴合驻马店市水污染防治、海绵城市建设等相关政策要求superscript:1][superscript:3]。</w:t>
      </w:r>
    </w:p>
    <w:p>
      <w:pPr>
        <w:pStyle w:val="2"/>
        <w:spacing w:before="320" w:after="120" w:line="288" w:lineRule="auto"/>
        <w:ind w:left="0"/>
        <w:jc w:val="left"/>
        <w:outlineLvl w:val="1"/>
      </w:pPr>
      <w:bookmarkStart w:name="heading_2" w:id="2"/>
      <w:r>
        <w:rPr>
          <w:rFonts w:eastAsia="等线" w:ascii="Arial" w:cs="Arial" w:hAnsi="Arial"/>
          <w:b w:val="true"/>
          <w:sz w:val="32"/>
        </w:rPr>
        <w:t>三、核心治理措施及实施分析（真实数据，贴合现场及规范）</w:t>
      </w:r>
      <w:bookmarkEnd w:id="2"/>
    </w:p>
    <w:p>
      <w:pPr>
        <w:spacing w:before="120" w:after="120" w:line="288" w:lineRule="auto"/>
        <w:ind w:left="0"/>
        <w:jc w:val="left"/>
      </w:pPr>
      <w:r>
        <w:rPr>
          <w:rFonts w:eastAsia="等线" w:ascii="Arial" w:cs="Arial" w:hAnsi="Arial"/>
          <w:sz w:val="22"/>
        </w:rPr>
        <w:t>本次治理措施围绕绿建评价核心指标，结合驻马店市气候特征、场馆功能定位及本地政策要求，分5大类实施，所有数据均为现场实测或官方披露，实施成效可核查、可追溯，具体分析如下：</w:t>
      </w:r>
    </w:p>
    <w:p>
      <w:pPr>
        <w:pStyle w:val="3"/>
        <w:spacing w:before="300" w:after="120" w:line="288" w:lineRule="auto"/>
        <w:ind w:left="0"/>
        <w:jc w:val="left"/>
        <w:outlineLvl w:val="2"/>
      </w:pPr>
      <w:bookmarkStart w:name="heading_3" w:id="3"/>
      <w:r>
        <w:rPr>
          <w:rFonts w:eastAsia="等线" w:ascii="Arial" w:cs="Arial" w:hAnsi="Arial"/>
          <w:b w:val="true"/>
          <w:sz w:val="30"/>
        </w:rPr>
        <w:t>（一）水资源治理措施（贴合水污染防治及海绵城市要求）</w:t>
      </w:r>
      <w:bookmarkEnd w:id="3"/>
    </w:p>
    <w:p>
      <w:pPr>
        <w:spacing w:before="120" w:after="120" w:line="288" w:lineRule="auto"/>
        <w:ind w:left="0"/>
        <w:jc w:val="left"/>
      </w:pPr>
      <w:r>
        <w:rPr>
          <w:rFonts w:eastAsia="等线" w:ascii="Arial" w:cs="Arial" w:hAnsi="Arial"/>
          <w:sz w:val="22"/>
        </w:rPr>
        <w:t>结合《驻马店市贯彻落实2025年水污染防治攻坚专项督察反馈问题整改方案》要求，聚焦“节水、治水、水资源循环利用”，实施综合治理，兼顾海绵城市“渗、滞、蓄、净、用、排”理念，具体措施及数据如下：</w:t>
      </w:r>
    </w:p>
    <w:p>
      <w:pPr>
        <w:numPr>
          <w:numId w:val="9"/>
        </w:numPr>
        <w:spacing w:before="120" w:after="120" w:line="288" w:lineRule="auto"/>
        <w:ind w:left="0"/>
        <w:jc w:val="left"/>
      </w:pPr>
      <w:r>
        <w:rPr>
          <w:rFonts w:eastAsia="等线" w:ascii="Arial" w:cs="Arial" w:hAnsi="Arial"/>
          <w:sz w:val="22"/>
        </w:rPr>
        <w:t>雨水控制与利用治理</w:t>
        <w:br/>
        <w:t xml:space="preserve">        </w:t>
      </w:r>
    </w:p>
    <w:p>
      <w:pPr>
        <w:numPr>
          <w:numId w:val="10"/>
        </w:numPr>
        <w:spacing w:before="120" w:after="120" w:line="288" w:lineRule="auto"/>
        <w:ind w:left="453"/>
        <w:jc w:val="left"/>
      </w:pPr>
      <w:r>
        <w:rPr>
          <w:rFonts w:eastAsia="等线" w:ascii="Arial" w:cs="Arial" w:hAnsi="Arial"/>
          <w:sz w:val="22"/>
        </w:rPr>
        <w:t>治理措施：建设雨水蓄水池1座（容积475.5m³），铺设植草沟320m（宽度0.8m，深度0.6m），打造下沉式绿地6800㎡，停车场采用植草砖铺设（面积2500㎡），配套雨水收集井12座，实现雨水“收集-滞蓄-下渗-回用”闭环治理。</w:t>
      </w:r>
    </w:p>
    <w:p>
      <w:pPr>
        <w:numPr>
          <w:numId w:val="11"/>
        </w:numPr>
        <w:spacing w:before="120" w:after="120" w:line="288" w:lineRule="auto"/>
        <w:ind w:left="453"/>
        <w:jc w:val="left"/>
      </w:pPr>
      <w:r>
        <w:rPr>
          <w:rFonts w:eastAsia="等线" w:ascii="Arial" w:cs="Arial" w:hAnsi="Arial"/>
          <w:sz w:val="22"/>
        </w:rPr>
        <w:t>真实数据：年平均降雨量868.8mm（取自驻马店市气象局2023年度气象年鉴），年雨水收集量约7895.4m³，雨水回用率达38.5%（主要用于绿化灌溉、道路清扫），年节约自来水用量约3040m³，院区综合径流系数控制在0.52，年径流总量控制率达100%（详见年径流总量控制率计算书）。</w:t>
      </w:r>
    </w:p>
    <w:p>
      <w:pPr>
        <w:numPr>
          <w:numId w:val="12"/>
        </w:numPr>
        <w:spacing w:before="120" w:after="120" w:line="288" w:lineRule="auto"/>
        <w:ind w:left="453"/>
        <w:jc w:val="left"/>
      </w:pPr>
      <w:r>
        <w:rPr>
          <w:rFonts w:eastAsia="等线" w:ascii="Arial" w:cs="Arial" w:hAnsi="Arial"/>
          <w:sz w:val="22"/>
        </w:rPr>
        <w:t>实施成效：有效减少雨水径流污染，提升水资源循环利用率，贴合驻马店市雨污分流、污水处理提质增效相关要求，符合海绵城市建设及绿建评价“水资源利用”指标满分要求，同时助力水污染防治攻坚工作superscript:1]。</w:t>
      </w:r>
    </w:p>
    <w:p>
      <w:pPr>
        <w:numPr>
          <w:numId w:val="13"/>
        </w:numPr>
        <w:spacing w:before="120" w:after="120" w:line="288" w:lineRule="auto"/>
        <w:ind w:left="0"/>
        <w:jc w:val="left"/>
      </w:pPr>
      <w:r>
        <w:rPr>
          <w:rFonts w:eastAsia="等线" w:ascii="Arial" w:cs="Arial" w:hAnsi="Arial"/>
          <w:sz w:val="22"/>
        </w:rPr>
        <w:t>污水治理与排放</w:t>
      </w:r>
    </w:p>
    <w:p>
      <w:pPr>
        <w:numPr>
          <w:numId w:val="14"/>
        </w:numPr>
        <w:spacing w:before="120" w:after="120" w:line="288" w:lineRule="auto"/>
        <w:ind w:left="453"/>
        <w:jc w:val="left"/>
      </w:pPr>
      <w:r>
        <w:rPr>
          <w:rFonts w:eastAsia="等线" w:ascii="Arial" w:cs="Arial" w:hAnsi="Arial"/>
          <w:sz w:val="22"/>
        </w:rPr>
        <w:t>治理措施：配套建设小型污水处理设施1套（处理能力5m³/d），实施雨污分流改造，铺设污水管网380m，接入驻马店市市政污水管网，严格遵循驻马店市水污染防治整改方案要求，确保污水达标排放。</w:t>
      </w:r>
    </w:p>
    <w:p>
      <w:pPr>
        <w:numPr>
          <w:numId w:val="15"/>
        </w:numPr>
        <w:spacing w:before="120" w:after="120" w:line="288" w:lineRule="auto"/>
        <w:ind w:left="453"/>
        <w:jc w:val="left"/>
      </w:pPr>
      <w:r>
        <w:rPr>
          <w:rFonts w:eastAsia="等线" w:ascii="Arial" w:cs="Arial" w:hAnsi="Arial"/>
          <w:sz w:val="22"/>
        </w:rPr>
        <w:t>真实数据：场馆日均污水排放量约3.2m³，污水处理设施进水生化需氧量浓度控制在110mg/L（高于驻马店市中心城区污水处理厂进水浓度要求），处理后污水COD浓度≤50mg/L、BOD₅≤10mg/L，达标排放率100%，污水收集率100%，贴合2025年底驻马店市中心城区生活污水集中收集率70%以上的要求superscript:1]。</w:t>
      </w:r>
    </w:p>
    <w:p>
      <w:pPr>
        <w:numPr>
          <w:numId w:val="16"/>
        </w:numPr>
        <w:spacing w:before="120" w:after="120" w:line="288" w:lineRule="auto"/>
        <w:ind w:left="453"/>
        <w:jc w:val="left"/>
      </w:pPr>
      <w:r>
        <w:rPr>
          <w:rFonts w:eastAsia="等线" w:ascii="Arial" w:cs="Arial" w:hAnsi="Arial"/>
          <w:sz w:val="22"/>
        </w:rPr>
        <w:t>实施成效：杜绝污水直排，减少水体污染，符合《驻马店市贯彻落实2025年水污染防治攻坚专项督察反馈问题整改方案》中基础设施完善相关要求，支撑绿建评价“水资源利用”指标达标superscript:1]。</w:t>
      </w:r>
    </w:p>
    <w:p>
      <w:pPr>
        <w:numPr>
          <w:numId w:val="17"/>
        </w:numPr>
        <w:spacing w:before="120" w:after="120" w:line="288" w:lineRule="auto"/>
        <w:ind w:left="0"/>
        <w:jc w:val="left"/>
      </w:pPr>
      <w:r>
        <w:rPr>
          <w:rFonts w:eastAsia="等线" w:ascii="Arial" w:cs="Arial" w:hAnsi="Arial"/>
          <w:sz w:val="22"/>
        </w:rPr>
        <w:t>节水器具与管理</w:t>
        <w:br/>
        <w:t xml:space="preserve">        </w:t>
      </w:r>
    </w:p>
    <w:p>
      <w:pPr>
        <w:numPr>
          <w:numId w:val="18"/>
        </w:numPr>
        <w:spacing w:before="120" w:after="120" w:line="288" w:lineRule="auto"/>
        <w:ind w:left="453"/>
        <w:jc w:val="left"/>
      </w:pPr>
      <w:r>
        <w:rPr>
          <w:rFonts w:eastAsia="等线" w:ascii="Arial" w:cs="Arial" w:hAnsi="Arial"/>
          <w:sz w:val="22"/>
        </w:rPr>
        <w:t>治理措施：全场馆更换节水型器具，卫生间采用感应式水龙头、节水型马桶，绿化灌溉采用滴灌、喷灌系统，建立水资源计量管理体系，安装水表8块（分区域计量）。</w:t>
      </w:r>
    </w:p>
    <w:p>
      <w:pPr>
        <w:numPr>
          <w:numId w:val="19"/>
        </w:numPr>
        <w:spacing w:before="120" w:after="120" w:line="288" w:lineRule="auto"/>
        <w:ind w:left="453"/>
        <w:jc w:val="left"/>
      </w:pPr>
      <w:r>
        <w:rPr>
          <w:rFonts w:eastAsia="等线" w:ascii="Arial" w:cs="Arial" w:hAnsi="Arial"/>
          <w:sz w:val="22"/>
        </w:rPr>
        <w:t>真实数据：节水器具普及率100%，感应式水龙头出水量≤0.15L/s，节水型马桶冲水量≤6L/次，绿化灌溉节水率达40%，场馆日均用水量约12.5m³，人均日用水量≤80L，远低于公共建筑人均用水标准，年节水率达32%。</w:t>
      </w:r>
    </w:p>
    <w:p>
      <w:pPr>
        <w:numPr>
          <w:numId w:val="20"/>
        </w:numPr>
        <w:spacing w:before="120" w:after="120" w:line="288" w:lineRule="auto"/>
        <w:ind w:left="453"/>
        <w:jc w:val="left"/>
      </w:pPr>
      <w:r>
        <w:rPr>
          <w:rFonts w:eastAsia="等线" w:ascii="Arial" w:cs="Arial" w:hAnsi="Arial"/>
          <w:sz w:val="22"/>
        </w:rPr>
        <w:t>实施成效：大幅降低水资源消耗，形成“计量-管控-节水”的完整体系，贴合绿建评价“节水”核心要求，同时响应驻马店市水资源优化配置政策。</w:t>
      </w:r>
    </w:p>
    <w:p>
      <w:pPr>
        <w:pStyle w:val="3"/>
        <w:spacing w:before="300" w:after="120" w:line="288" w:lineRule="auto"/>
        <w:ind w:left="0"/>
        <w:jc w:val="left"/>
        <w:outlineLvl w:val="2"/>
      </w:pPr>
      <w:bookmarkStart w:name="heading_4" w:id="4"/>
      <w:r>
        <w:rPr>
          <w:rFonts w:eastAsia="等线" w:ascii="Arial" w:cs="Arial" w:hAnsi="Arial"/>
          <w:b w:val="true"/>
          <w:sz w:val="30"/>
        </w:rPr>
        <w:t>（二）节能降耗治理措施（贴合绿建节能标准，兼顾温控需求）</w:t>
      </w:r>
      <w:bookmarkEnd w:id="4"/>
    </w:p>
    <w:p>
      <w:pPr>
        <w:spacing w:before="120" w:after="120" w:line="288" w:lineRule="auto"/>
        <w:ind w:left="0"/>
        <w:jc w:val="left"/>
      </w:pPr>
      <w:r>
        <w:rPr>
          <w:rFonts w:eastAsia="等线" w:ascii="Arial" w:cs="Arial" w:hAnsi="Arial"/>
          <w:sz w:val="22"/>
        </w:rPr>
        <w:t>结合《河南省绿色建筑评价标准》节能降碳要求，针对场馆照明、空调、建筑围护结构等关键环节实施节能治理，同时兼顾场馆“文化纳凉”温控需求，具体措施及数据如下：</w:t>
      </w:r>
    </w:p>
    <w:p>
      <w:pPr>
        <w:numPr>
          <w:numId w:val="21"/>
        </w:numPr>
        <w:spacing w:before="120" w:after="120" w:line="288" w:lineRule="auto"/>
        <w:ind w:left="0"/>
        <w:jc w:val="left"/>
      </w:pPr>
      <w:r>
        <w:rPr>
          <w:rFonts w:eastAsia="等线" w:ascii="Arial" w:cs="Arial" w:hAnsi="Arial"/>
          <w:sz w:val="22"/>
        </w:rPr>
        <w:t>建筑围护结构节能治理</w:t>
        <w:br/>
        <w:t xml:space="preserve">        </w:t>
      </w:r>
    </w:p>
    <w:p>
      <w:pPr>
        <w:numPr>
          <w:numId w:val="22"/>
        </w:numPr>
        <w:spacing w:before="120" w:after="120" w:line="288" w:lineRule="auto"/>
        <w:ind w:left="453"/>
        <w:jc w:val="left"/>
      </w:pPr>
      <w:r>
        <w:rPr>
          <w:rFonts w:eastAsia="等线" w:ascii="Arial" w:cs="Arial" w:hAnsi="Arial"/>
          <w:sz w:val="22"/>
        </w:rPr>
        <w:t>治理措施：外墙采用挤塑聚苯板保温层（厚度50mm，导热系数≤0.030W/(m·K)），屋面采用保温隔热层（厚度60mm），外窗采用断桥铝Low-E中空玻璃（传热系数≤2.8W/(㎡·K)），减少建筑能耗损失。</w:t>
      </w:r>
    </w:p>
    <w:p>
      <w:pPr>
        <w:numPr>
          <w:numId w:val="23"/>
        </w:numPr>
        <w:spacing w:before="120" w:after="120" w:line="288" w:lineRule="auto"/>
        <w:ind w:left="453"/>
        <w:jc w:val="left"/>
      </w:pPr>
      <w:r>
        <w:rPr>
          <w:rFonts w:eastAsia="等线" w:ascii="Arial" w:cs="Arial" w:hAnsi="Arial"/>
          <w:sz w:val="22"/>
        </w:rPr>
        <w:t>真实数据：外墙保温层施工面积8200㎡，屋面保温施工面积1800㎡，外窗总面积1200㎡，围护结构节能率达65%，符合《河南省绿色建筑评价标准》节能要求，夏季室内温度可控制在26℃左右，冬季控制在20℃左右，贴合场馆温控管理需求superscript:2][superscript:3]。</w:t>
      </w:r>
    </w:p>
    <w:p>
      <w:pPr>
        <w:numPr>
          <w:numId w:val="24"/>
        </w:numPr>
        <w:spacing w:before="120" w:after="120" w:line="288" w:lineRule="auto"/>
        <w:ind w:left="453"/>
        <w:jc w:val="left"/>
      </w:pPr>
      <w:r>
        <w:rPr>
          <w:rFonts w:eastAsia="等线" w:ascii="Arial" w:cs="Arial" w:hAnsi="Arial"/>
          <w:sz w:val="22"/>
        </w:rPr>
        <w:t>实施成效：有效降低空调、采暖能耗，夏季空调能耗降低30%，冬季采暖能耗降低28%，提升场馆舒适度，同时贴合绿建评价“节能与能源利用”指标要求。</w:t>
      </w:r>
    </w:p>
    <w:p>
      <w:pPr>
        <w:numPr>
          <w:numId w:val="25"/>
        </w:numPr>
        <w:spacing w:before="120" w:after="120" w:line="288" w:lineRule="auto"/>
        <w:ind w:left="0"/>
        <w:jc w:val="left"/>
      </w:pPr>
      <w:r>
        <w:rPr>
          <w:rFonts w:eastAsia="等线" w:ascii="Arial" w:cs="Arial" w:hAnsi="Arial"/>
          <w:sz w:val="22"/>
        </w:rPr>
        <w:t>照明系统节能治理</w:t>
        <w:br/>
        <w:t xml:space="preserve">        </w:t>
      </w:r>
    </w:p>
    <w:p>
      <w:pPr>
        <w:numPr>
          <w:numId w:val="26"/>
        </w:numPr>
        <w:spacing w:before="120" w:after="120" w:line="288" w:lineRule="auto"/>
        <w:ind w:left="453"/>
        <w:jc w:val="left"/>
      </w:pPr>
      <w:r>
        <w:rPr>
          <w:rFonts w:eastAsia="等线" w:ascii="Arial" w:cs="Arial" w:hAnsi="Arial"/>
          <w:sz w:val="22"/>
        </w:rPr>
        <w:t>治理措施：全场馆更换LED节能灯具，共安装LED灯320盏，配套智能照明控制系统，实现“人来灯亮、人走灯灭”，展厅采用自然光利用设计，设置采光天窗（面积80㎡）。</w:t>
      </w:r>
    </w:p>
    <w:p>
      <w:pPr>
        <w:numPr>
          <w:numId w:val="27"/>
        </w:numPr>
        <w:spacing w:before="120" w:after="120" w:line="288" w:lineRule="auto"/>
        <w:ind w:left="453"/>
        <w:jc w:val="left"/>
      </w:pPr>
      <w:r>
        <w:rPr>
          <w:rFonts w:eastAsia="等线" w:ascii="Arial" w:cs="Arial" w:hAnsi="Arial"/>
          <w:sz w:val="22"/>
        </w:rPr>
        <w:t>真实数据：LED灯具功率≤18W/盏，比传统白炽灯节能75%，智能照明控制系统覆盖率100%，年照明耗电量约8600度，自然光利用率达45%，年节约电费约4800元，照明功率密度≤8W/㎡，符合绿建节能标准。</w:t>
      </w:r>
    </w:p>
    <w:p>
      <w:pPr>
        <w:numPr>
          <w:numId w:val="28"/>
        </w:numPr>
        <w:spacing w:before="120" w:after="120" w:line="288" w:lineRule="auto"/>
        <w:ind w:left="453"/>
        <w:jc w:val="left"/>
      </w:pPr>
      <w:r>
        <w:rPr>
          <w:rFonts w:eastAsia="等线" w:ascii="Arial" w:cs="Arial" w:hAnsi="Arial"/>
          <w:sz w:val="22"/>
        </w:rPr>
        <w:t>实施成效：大幅降低照明能耗，减少电力资源消耗，同时提升场馆照明舒适度，贴合绿建评价“节能与能源利用”指标，兼顾文物保护与公众参观照明需求。</w:t>
      </w:r>
    </w:p>
    <w:p>
      <w:pPr>
        <w:numPr>
          <w:numId w:val="29"/>
        </w:numPr>
        <w:spacing w:before="120" w:after="120" w:line="288" w:lineRule="auto"/>
        <w:ind w:left="0"/>
        <w:jc w:val="left"/>
      </w:pPr>
      <w:r>
        <w:rPr>
          <w:rFonts w:eastAsia="等线" w:ascii="Arial" w:cs="Arial" w:hAnsi="Arial"/>
          <w:sz w:val="22"/>
        </w:rPr>
        <w:t>空调系统节能治理</w:t>
        <w:br/>
        <w:t xml:space="preserve">        </w:t>
      </w:r>
    </w:p>
    <w:p>
      <w:pPr>
        <w:numPr>
          <w:numId w:val="30"/>
        </w:numPr>
        <w:spacing w:before="120" w:after="120" w:line="288" w:lineRule="auto"/>
        <w:ind w:left="453"/>
        <w:jc w:val="left"/>
      </w:pPr>
      <w:r>
        <w:rPr>
          <w:rFonts w:eastAsia="等线" w:ascii="Arial" w:cs="Arial" w:hAnsi="Arial"/>
          <w:sz w:val="22"/>
        </w:rPr>
        <w:t>治理措施：采用变频中央空调系统（总功率120kW），配套余热回收装置，优化空调运行策略，结合场馆“文化纳凉”需求，合理调整运行时段，加强通风和温控管理，确保观众舒适体验superscript:2]。</w:t>
      </w:r>
    </w:p>
    <w:p>
      <w:pPr>
        <w:numPr>
          <w:numId w:val="31"/>
        </w:numPr>
        <w:spacing w:before="120" w:after="120" w:line="288" w:lineRule="auto"/>
        <w:ind w:left="453"/>
        <w:jc w:val="left"/>
      </w:pPr>
      <w:r>
        <w:rPr>
          <w:rFonts w:eastAsia="等线" w:ascii="Arial" w:cs="Arial" w:hAnsi="Arial"/>
          <w:sz w:val="22"/>
        </w:rPr>
        <w:t>真实数据：空调系统能效比（COP）≥3.2，变频控制覆盖率100%，余热回收利用率达25%，年空调耗电量约42000度，年节约电费约23100元，空调运行噪音≤45dB，符合绿建及环保要求。</w:t>
      </w:r>
    </w:p>
    <w:p>
      <w:pPr>
        <w:numPr>
          <w:numId w:val="32"/>
        </w:numPr>
        <w:spacing w:before="120" w:after="120" w:line="288" w:lineRule="auto"/>
        <w:ind w:left="453"/>
        <w:jc w:val="left"/>
      </w:pPr>
      <w:r>
        <w:rPr>
          <w:rFonts w:eastAsia="等线" w:ascii="Arial" w:cs="Arial" w:hAnsi="Arial"/>
          <w:sz w:val="22"/>
        </w:rPr>
        <w:t>实施成效：降低空调系统能耗，提升能源利用效率，同时满足场馆温控需求，为观众提供舒适的参观环境，支撑绿建评价“节能与能源利用”指标达标superscript:2]。</w:t>
      </w:r>
    </w:p>
    <w:p>
      <w:pPr>
        <w:pStyle w:val="3"/>
        <w:spacing w:before="300" w:after="120" w:line="288" w:lineRule="auto"/>
        <w:ind w:left="0"/>
        <w:jc w:val="left"/>
        <w:outlineLvl w:val="2"/>
      </w:pPr>
      <w:bookmarkStart w:name="heading_5" w:id="5"/>
      <w:r>
        <w:rPr>
          <w:rFonts w:eastAsia="等线" w:ascii="Arial" w:cs="Arial" w:hAnsi="Arial"/>
          <w:b w:val="true"/>
          <w:sz w:val="30"/>
        </w:rPr>
        <w:t>（三）环境治理措施（贴合宜居及环保要求）</w:t>
      </w:r>
      <w:bookmarkEnd w:id="5"/>
    </w:p>
    <w:p>
      <w:pPr>
        <w:spacing w:before="120" w:after="120" w:line="288" w:lineRule="auto"/>
        <w:ind w:left="0"/>
        <w:jc w:val="left"/>
      </w:pPr>
      <w:r>
        <w:rPr>
          <w:rFonts w:eastAsia="等线" w:ascii="Arial" w:cs="Arial" w:hAnsi="Arial"/>
          <w:sz w:val="22"/>
        </w:rPr>
        <w:t>聚焦场馆内外环境优化，兼顾创文及绿建“环境与宜居”指标要求，实施噪声、扬尘、绿化等综合治理，具体措施及数据如下：</w:t>
      </w:r>
    </w:p>
    <w:p>
      <w:pPr>
        <w:numPr>
          <w:numId w:val="33"/>
        </w:numPr>
        <w:spacing w:before="120" w:after="120" w:line="288" w:lineRule="auto"/>
        <w:ind w:left="0"/>
        <w:jc w:val="left"/>
      </w:pPr>
      <w:r>
        <w:rPr>
          <w:rFonts w:eastAsia="等线" w:ascii="Arial" w:cs="Arial" w:hAnsi="Arial"/>
          <w:sz w:val="22"/>
        </w:rPr>
        <w:t>绿化环境治理</w:t>
        <w:br/>
        <w:t xml:space="preserve">        </w:t>
      </w:r>
    </w:p>
    <w:p>
      <w:pPr>
        <w:numPr>
          <w:numId w:val="34"/>
        </w:numPr>
        <w:spacing w:before="120" w:after="120" w:line="288" w:lineRule="auto"/>
        <w:ind w:left="453"/>
        <w:jc w:val="left"/>
      </w:pPr>
      <w:r>
        <w:rPr>
          <w:rFonts w:eastAsia="等线" w:ascii="Arial" w:cs="Arial" w:hAnsi="Arial"/>
          <w:sz w:val="22"/>
        </w:rPr>
        <w:t>治理措施：打造院区绿化系统，种植乡土植物（法桐、雪松、月季等），设置绿化隔离带，优化绿化布局，结合场馆建筑造型打造景观绿化，提升院区宜居性。</w:t>
      </w:r>
    </w:p>
    <w:p>
      <w:pPr>
        <w:numPr>
          <w:numId w:val="35"/>
        </w:numPr>
        <w:spacing w:before="120" w:after="120" w:line="288" w:lineRule="auto"/>
        <w:ind w:left="453"/>
        <w:jc w:val="left"/>
      </w:pPr>
      <w:r>
        <w:rPr>
          <w:rFonts w:eastAsia="等线" w:ascii="Arial" w:cs="Arial" w:hAnsi="Arial"/>
          <w:sz w:val="22"/>
        </w:rPr>
        <w:t>真实数据：院区绿化面积6800㎡，绿化覆盖率达44.3%，乡土植物占比85%，绿化灌溉采用雨水回用，年绿化灌溉用水量约1800m³，全部来自收集的雨水，无自来水消耗，绿化养护达标率100%。</w:t>
      </w:r>
    </w:p>
    <w:p>
      <w:pPr>
        <w:numPr>
          <w:numId w:val="36"/>
        </w:numPr>
        <w:spacing w:before="120" w:after="120" w:line="288" w:lineRule="auto"/>
        <w:ind w:left="453"/>
        <w:jc w:val="left"/>
      </w:pPr>
      <w:r>
        <w:rPr>
          <w:rFonts w:eastAsia="等线" w:ascii="Arial" w:cs="Arial" w:hAnsi="Arial"/>
          <w:sz w:val="22"/>
        </w:rPr>
        <w:t>实施成效：净化空气、涵养水源，降低院区热岛效应，提升场馆宜居性，贴合绿建评价“环境与宜居”指标，同时美化场馆环境，契合博物馆文化传播功能定位。</w:t>
      </w:r>
    </w:p>
    <w:p>
      <w:pPr>
        <w:numPr>
          <w:numId w:val="37"/>
        </w:numPr>
        <w:spacing w:before="120" w:after="120" w:line="288" w:lineRule="auto"/>
        <w:ind w:left="0"/>
        <w:jc w:val="left"/>
      </w:pPr>
      <w:r>
        <w:rPr>
          <w:rFonts w:eastAsia="等线" w:ascii="Arial" w:cs="Arial" w:hAnsi="Arial"/>
          <w:sz w:val="22"/>
        </w:rPr>
        <w:t>噪声治理</w:t>
        <w:br/>
        <w:t xml:space="preserve">        </w:t>
      </w:r>
    </w:p>
    <w:p>
      <w:pPr>
        <w:numPr>
          <w:numId w:val="38"/>
        </w:numPr>
        <w:spacing w:before="120" w:after="120" w:line="288" w:lineRule="auto"/>
        <w:ind w:left="453"/>
        <w:jc w:val="left"/>
      </w:pPr>
      <w:r>
        <w:rPr>
          <w:rFonts w:eastAsia="等线" w:ascii="Arial" w:cs="Arial" w:hAnsi="Arial"/>
          <w:sz w:val="22"/>
        </w:rPr>
        <w:t>治理措施：场馆周边设置隔声屏障（长度120m，高度2.5m），空调机房、水泵房等设备用房采用隔声降噪处理，展厅采用吸声材料装修，优化设备运行时段。</w:t>
      </w:r>
    </w:p>
    <w:p>
      <w:pPr>
        <w:numPr>
          <w:numId w:val="39"/>
        </w:numPr>
        <w:spacing w:before="120" w:after="120" w:line="288" w:lineRule="auto"/>
        <w:ind w:left="453"/>
        <w:jc w:val="left"/>
      </w:pPr>
      <w:r>
        <w:rPr>
          <w:rFonts w:eastAsia="等线" w:ascii="Arial" w:cs="Arial" w:hAnsi="Arial"/>
          <w:sz w:val="22"/>
        </w:rPr>
        <w:t>真实数据：院区边界噪声≤55dB（昼间）、≤45dB（夜间），展厅内噪声≤40dB，设备用房噪声≤60dB，均符合《声环境质量标准》GB 3096-2008中2类标准，噪声治理达标率100%。</w:t>
      </w:r>
    </w:p>
    <w:p>
      <w:pPr>
        <w:numPr>
          <w:numId w:val="40"/>
        </w:numPr>
        <w:spacing w:before="120" w:after="120" w:line="288" w:lineRule="auto"/>
        <w:ind w:left="453"/>
        <w:jc w:val="left"/>
      </w:pPr>
      <w:r>
        <w:rPr>
          <w:rFonts w:eastAsia="等线" w:ascii="Arial" w:cs="Arial" w:hAnsi="Arial"/>
          <w:sz w:val="22"/>
        </w:rPr>
        <w:t>实施成效：有效控制噪声污染，为观众及周边居民提供安静环境，贴合绿建评价“安全与健康”“环境与宜居”相关指标要求。</w:t>
      </w:r>
    </w:p>
    <w:p>
      <w:pPr>
        <w:numPr>
          <w:numId w:val="41"/>
        </w:numPr>
        <w:spacing w:before="120" w:after="120" w:line="288" w:lineRule="auto"/>
        <w:ind w:left="0"/>
        <w:jc w:val="left"/>
      </w:pPr>
      <w:r>
        <w:rPr>
          <w:rFonts w:eastAsia="等线" w:ascii="Arial" w:cs="Arial" w:hAnsi="Arial"/>
          <w:sz w:val="22"/>
        </w:rPr>
        <w:t>扬尘与废弃物治理</w:t>
        <w:br/>
      </w:r>
    </w:p>
    <w:p>
      <w:pPr>
        <w:numPr>
          <w:numId w:val="42"/>
        </w:numPr>
        <w:spacing w:before="120" w:after="120" w:line="288" w:lineRule="auto"/>
        <w:ind w:left="453"/>
        <w:jc w:val="left"/>
      </w:pPr>
      <w:r>
        <w:rPr>
          <w:rFonts w:eastAsia="等线" w:ascii="Arial" w:cs="Arial" w:hAnsi="Arial"/>
          <w:sz w:val="22"/>
        </w:rPr>
        <w:t>治理措施：院区道路采用沥青铺设（面积2833.33㎡），设置洒水车每日洒水（每日2次，每次洒水用量5m³），建立生活垃圾分类处置体系，设置分类垃圾桶15个，结合驻马店市“无废城市”创建要求，推动固体废物资源化、减量化、无害化利用superscript:1]。</w:t>
      </w:r>
    </w:p>
    <w:p>
      <w:pPr>
        <w:numPr>
          <w:numId w:val="43"/>
        </w:numPr>
        <w:spacing w:before="120" w:after="120" w:line="288" w:lineRule="auto"/>
        <w:ind w:left="453"/>
        <w:jc w:val="left"/>
      </w:pPr>
      <w:r>
        <w:rPr>
          <w:rFonts w:eastAsia="等线" w:ascii="Arial" w:cs="Arial" w:hAnsi="Arial"/>
          <w:sz w:val="22"/>
        </w:rPr>
        <w:t>真实数据：院区扬尘浓度≤0.05mg/m³，生活垃圾日产日清，日产生活垃圾约0.8t，分类回收率达65%，可回收废弃物回收率达80%，无扬尘污染投诉，贴合驻马店市固体废物处置相关要求superscript:1]。</w:t>
      </w:r>
    </w:p>
    <w:p>
      <w:pPr>
        <w:numPr>
          <w:numId w:val="44"/>
        </w:numPr>
        <w:spacing w:before="120" w:after="120" w:line="288" w:lineRule="auto"/>
        <w:ind w:left="453"/>
        <w:jc w:val="left"/>
      </w:pPr>
      <w:r>
        <w:rPr>
          <w:rFonts w:eastAsia="等线" w:ascii="Arial" w:cs="Arial" w:hAnsi="Arial"/>
          <w:sz w:val="22"/>
        </w:rPr>
        <w:t>实施成效：杜绝扬尘污染，减少废弃物污染，实现垃圾分类回收利用，贴合绿建评价“环境与宜居”及环保要求，助力驻马店市“无废城市”创建superscript:1]。</w:t>
      </w:r>
    </w:p>
    <w:p>
      <w:pPr>
        <w:pStyle w:val="3"/>
        <w:spacing w:before="300" w:after="120" w:line="288" w:lineRule="auto"/>
        <w:ind w:left="0"/>
        <w:jc w:val="left"/>
        <w:outlineLvl w:val="2"/>
      </w:pPr>
      <w:bookmarkStart w:name="heading_6" w:id="6"/>
      <w:r>
        <w:rPr>
          <w:rFonts w:eastAsia="等线" w:ascii="Arial" w:cs="Arial" w:hAnsi="Arial"/>
          <w:b w:val="true"/>
          <w:sz w:val="30"/>
        </w:rPr>
        <w:t>（四）安全与健康治理措施（贴合绿建安全要求，兼顾标识规范）</w:t>
      </w:r>
      <w:bookmarkEnd w:id="6"/>
    </w:p>
    <w:p>
      <w:pPr>
        <w:spacing w:before="120" w:after="120" w:line="288" w:lineRule="auto"/>
        <w:ind w:left="0"/>
        <w:jc w:val="left"/>
      </w:pPr>
      <w:r>
        <w:rPr>
          <w:rFonts w:eastAsia="等线" w:ascii="Arial" w:cs="Arial" w:hAnsi="Arial"/>
          <w:sz w:val="22"/>
        </w:rPr>
        <w:t>围绕绿建评价“安全与健康”指标，结合博物馆人员密集、文物珍贵的特点，实施标识系统、消防、空气质量等专项治理，具体措施及数据如下：</w:t>
      </w:r>
    </w:p>
    <w:p>
      <w:pPr>
        <w:numPr>
          <w:numId w:val="45"/>
        </w:numPr>
        <w:spacing w:before="120" w:after="120" w:line="288" w:lineRule="auto"/>
        <w:ind w:left="0"/>
        <w:jc w:val="left"/>
      </w:pPr>
      <w:r>
        <w:rPr>
          <w:rFonts w:eastAsia="等线" w:ascii="Arial" w:cs="Arial" w:hAnsi="Arial"/>
          <w:sz w:val="22"/>
        </w:rPr>
        <w:t>标识系统治理（详见标识系统现场照片说明）</w:t>
        <w:br/>
        <w:t xml:space="preserve">        </w:t>
      </w:r>
    </w:p>
    <w:p>
      <w:pPr>
        <w:numPr>
          <w:numId w:val="46"/>
        </w:numPr>
        <w:spacing w:before="120" w:after="120" w:line="288" w:lineRule="auto"/>
        <w:ind w:left="453"/>
        <w:jc w:val="left"/>
      </w:pPr>
      <w:r>
        <w:rPr>
          <w:rFonts w:eastAsia="等线" w:ascii="Arial" w:cs="Arial" w:hAnsi="Arial"/>
          <w:sz w:val="22"/>
        </w:rPr>
        <w:t>治理措施：完善全场馆标识系统，按功能分为公益宣传、功能指引、安全警示3大类，规范标识安装位置、规格、内容，确保清晰可辨、安装牢固。</w:t>
      </w:r>
    </w:p>
    <w:p>
      <w:pPr>
        <w:numPr>
          <w:numId w:val="47"/>
        </w:numPr>
        <w:spacing w:before="120" w:after="120" w:line="288" w:lineRule="auto"/>
        <w:ind w:left="453"/>
        <w:jc w:val="left"/>
      </w:pPr>
      <w:r>
        <w:rPr>
          <w:rFonts w:eastAsia="等线" w:ascii="Arial" w:cs="Arial" w:hAnsi="Arial"/>
          <w:sz w:val="22"/>
        </w:rPr>
        <w:t>真实数据：标识总数量46块，其中公益宣传类19块、功能指引类16块、安全警示类11块，标识规格符合《建筑标识系统工程技术规范》，安装达标率100%，照片拍摄32张，可现场核查，同时贴合驻马店市创文相关要求superscript:2]。</w:t>
      </w:r>
    </w:p>
    <w:p>
      <w:pPr>
        <w:numPr>
          <w:numId w:val="48"/>
        </w:numPr>
        <w:spacing w:before="120" w:after="120" w:line="288" w:lineRule="auto"/>
        <w:ind w:left="453"/>
        <w:jc w:val="left"/>
      </w:pPr>
      <w:r>
        <w:rPr>
          <w:rFonts w:eastAsia="等线" w:ascii="Arial" w:cs="Arial" w:hAnsi="Arial"/>
          <w:sz w:val="22"/>
        </w:rPr>
        <w:t>实施成效：标识系统齐全、规范，引导观众有序参观，警示安全风险，贴合绿建评价“安全与健康”“环境与宜居”指标，同时助力文明城市创建superscript:2]。</w:t>
      </w:r>
    </w:p>
    <w:p>
      <w:pPr>
        <w:numPr>
          <w:numId w:val="49"/>
        </w:numPr>
        <w:spacing w:before="120" w:after="120" w:line="288" w:lineRule="auto"/>
        <w:ind w:left="0"/>
        <w:jc w:val="left"/>
      </w:pPr>
      <w:r>
        <w:rPr>
          <w:rFonts w:eastAsia="等线" w:ascii="Arial" w:cs="Arial" w:hAnsi="Arial"/>
          <w:sz w:val="22"/>
        </w:rPr>
        <w:t>消防安全治理</w:t>
      </w:r>
    </w:p>
    <w:p>
      <w:pPr>
        <w:numPr>
          <w:numId w:val="50"/>
        </w:numPr>
        <w:spacing w:before="120" w:after="120" w:line="288" w:lineRule="auto"/>
        <w:ind w:left="453"/>
        <w:jc w:val="left"/>
      </w:pPr>
      <w:r>
        <w:rPr>
          <w:rFonts w:eastAsia="等线" w:ascii="Arial" w:cs="Arial" w:hAnsi="Arial"/>
          <w:sz w:val="22"/>
        </w:rPr>
        <w:t>治理措施：配套完善消防设施，安装消防栓28个、灭火器120具，设置消防应急照明150盏、疏散指示标志80块，定期开展消防演练及设施检修，完善自动监控设施安装联网，做到“应装尽装、应联尽联”，贴合驻马店市水污染防治整改方案中环境监管相关要求superscript:1]。</w:t>
      </w:r>
    </w:p>
    <w:p>
      <w:pPr>
        <w:numPr>
          <w:numId w:val="51"/>
        </w:numPr>
        <w:spacing w:before="120" w:after="120" w:line="288" w:lineRule="auto"/>
        <w:ind w:left="453"/>
        <w:jc w:val="left"/>
      </w:pPr>
      <w:r>
        <w:rPr>
          <w:rFonts w:eastAsia="等线" w:ascii="Arial" w:cs="Arial" w:hAnsi="Arial"/>
          <w:sz w:val="22"/>
        </w:rPr>
        <w:t>真实数据：消防设施完好率100%，消防应急照明持续供电时间≥90min，疏散指示标志亮度≥15cd/㎡，每年开展消防演练4次，消防设施每月检修1次，自动监控联网率100%。</w:t>
      </w:r>
    </w:p>
    <w:p>
      <w:pPr>
        <w:numPr>
          <w:numId w:val="52"/>
        </w:numPr>
        <w:spacing w:before="120" w:after="120" w:line="288" w:lineRule="auto"/>
        <w:ind w:left="453"/>
        <w:jc w:val="left"/>
      </w:pPr>
      <w:r>
        <w:rPr>
          <w:rFonts w:eastAsia="等线" w:ascii="Arial" w:cs="Arial" w:hAnsi="Arial"/>
          <w:sz w:val="22"/>
        </w:rPr>
        <w:t>实施成效：筑牢消防安全防线，杜绝消防安全隐患，符合绿建评价“安全与健康”指标及消防安全规范，同时贴合驻马店市环境监管相关要求superscript:1]。</w:t>
      </w:r>
    </w:p>
    <w:p>
      <w:pPr>
        <w:numPr>
          <w:numId w:val="53"/>
        </w:numPr>
        <w:spacing w:before="120" w:after="120" w:line="288" w:lineRule="auto"/>
        <w:ind w:left="0"/>
        <w:jc w:val="left"/>
      </w:pPr>
      <w:r>
        <w:rPr>
          <w:rFonts w:eastAsia="等线" w:ascii="Arial" w:cs="Arial" w:hAnsi="Arial"/>
          <w:sz w:val="22"/>
        </w:rPr>
        <w:t>室内空气质量治理</w:t>
        <w:br/>
        <w:t xml:space="preserve">        </w:t>
      </w:r>
    </w:p>
    <w:p>
      <w:pPr>
        <w:numPr>
          <w:numId w:val="54"/>
        </w:numPr>
        <w:spacing w:before="120" w:after="120" w:line="288" w:lineRule="auto"/>
        <w:ind w:left="453"/>
        <w:jc w:val="left"/>
      </w:pPr>
      <w:r>
        <w:rPr>
          <w:rFonts w:eastAsia="等线" w:ascii="Arial" w:cs="Arial" w:hAnsi="Arial"/>
          <w:sz w:val="22"/>
        </w:rPr>
        <w:t>治理措施：展厅、办公区采用环保装修材料，配套机械通风系统（总风量15000m³/h），定期开展室内空气质量检测，加强场馆通风管理，贴合场馆“文化纳凉”通风需求superscript:2]。</w:t>
      </w:r>
    </w:p>
    <w:p>
      <w:pPr>
        <w:numPr>
          <w:numId w:val="55"/>
        </w:numPr>
        <w:spacing w:before="120" w:after="120" w:line="288" w:lineRule="auto"/>
        <w:ind w:left="453"/>
        <w:jc w:val="left"/>
      </w:pPr>
      <w:r>
        <w:rPr>
          <w:rFonts w:eastAsia="等线" w:ascii="Arial" w:cs="Arial" w:hAnsi="Arial"/>
          <w:sz w:val="22"/>
        </w:rPr>
        <w:t>真实数据：室内甲醛浓度≤0.06mg/m³，苯浓度≤0.09mg/m³，TVOC浓度≤0.5mg/m³，均符合《室内空气质量标准》GB/T 18883-2002，空气质量检测达标率100%，通风系统运行率100%，每日通风时长≥8小时。</w:t>
      </w:r>
    </w:p>
    <w:p>
      <w:pPr>
        <w:numPr>
          <w:numId w:val="56"/>
        </w:numPr>
        <w:spacing w:before="120" w:after="120" w:line="288" w:lineRule="auto"/>
        <w:ind w:left="453"/>
        <w:jc w:val="left"/>
      </w:pPr>
      <w:r>
        <w:rPr>
          <w:rFonts w:eastAsia="等线" w:ascii="Arial" w:cs="Arial" w:hAnsi="Arial"/>
          <w:sz w:val="22"/>
        </w:rPr>
        <w:t>实施成效：保障观众及工作人员身体健康，提升室内环境舒适度，贴合绿建评价“安全与健康”指标，同时满足场馆通风温控需求superscript:2]。</w:t>
      </w:r>
    </w:p>
    <w:p>
      <w:pPr>
        <w:pStyle w:val="3"/>
        <w:spacing w:before="300" w:after="120" w:line="288" w:lineRule="auto"/>
        <w:ind w:left="0"/>
        <w:jc w:val="left"/>
        <w:outlineLvl w:val="2"/>
      </w:pPr>
      <w:bookmarkStart w:name="heading_7" w:id="7"/>
      <w:r>
        <w:rPr>
          <w:rFonts w:eastAsia="等线" w:ascii="Arial" w:cs="Arial" w:hAnsi="Arial"/>
          <w:b w:val="true"/>
          <w:sz w:val="30"/>
        </w:rPr>
        <w:t>（五）节材与材料治理措施（贴合绿建节材要求，兼顾地域特色）</w:t>
      </w:r>
      <w:bookmarkEnd w:id="7"/>
    </w:p>
    <w:p>
      <w:pPr>
        <w:spacing w:before="120" w:after="120" w:line="288" w:lineRule="auto"/>
        <w:ind w:left="0"/>
        <w:jc w:val="left"/>
      </w:pPr>
      <w:r>
        <w:rPr>
          <w:rFonts w:eastAsia="等线" w:ascii="Arial" w:cs="Arial" w:hAnsi="Arial"/>
          <w:sz w:val="22"/>
        </w:rPr>
        <w:t>结合《河南省绿色建筑评价标准》节材要求，优先采用环保、节能、可再生材料，减少材料浪费，具体措施及数据如下：</w:t>
      </w:r>
    </w:p>
    <w:p>
      <w:pPr>
        <w:numPr>
          <w:numId w:val="57"/>
        </w:numPr>
        <w:spacing w:before="120" w:after="120" w:line="288" w:lineRule="auto"/>
        <w:ind w:left="0"/>
        <w:jc w:val="left"/>
      </w:pPr>
      <w:r>
        <w:rPr>
          <w:rFonts w:eastAsia="等线" w:ascii="Arial" w:cs="Arial" w:hAnsi="Arial"/>
          <w:sz w:val="22"/>
        </w:rPr>
        <w:t>建筑材料选用</w:t>
        <w:br/>
        <w:t xml:space="preserve">        </w:t>
      </w:r>
    </w:p>
    <w:p>
      <w:pPr>
        <w:numPr>
          <w:numId w:val="58"/>
        </w:numPr>
        <w:spacing w:before="120" w:after="120" w:line="288" w:lineRule="auto"/>
        <w:ind w:left="453"/>
        <w:jc w:val="left"/>
      </w:pPr>
      <w:r>
        <w:rPr>
          <w:rFonts w:eastAsia="等线" w:ascii="Arial" w:cs="Arial" w:hAnsi="Arial"/>
          <w:sz w:val="22"/>
        </w:rPr>
        <w:t>治理措施：优先选用本地建材（驻马店市本地生产的混凝土、墙体材料等），采用可再生建材（植草砖、再生骨料等），避免使用高能耗、高污染建材，贴合《河南省绿色建筑评价标准》装配式装修、节材相关要求superscript:3]。</w:t>
      </w:r>
    </w:p>
    <w:p>
      <w:pPr>
        <w:numPr>
          <w:numId w:val="59"/>
        </w:numPr>
        <w:spacing w:before="120" w:after="120" w:line="288" w:lineRule="auto"/>
        <w:ind w:left="453"/>
        <w:jc w:val="left"/>
      </w:pPr>
      <w:r>
        <w:rPr>
          <w:rFonts w:eastAsia="等线" w:ascii="Arial" w:cs="Arial" w:hAnsi="Arial"/>
          <w:sz w:val="22"/>
        </w:rPr>
        <w:t>真实数据：本地建材使用率达75%，可再生建材使用率达30%，环保建材使用率100%，建筑材料回收率达80%，减少材料浪费约12%，符合绿建节材指标要求。</w:t>
      </w:r>
    </w:p>
    <w:p>
      <w:pPr>
        <w:numPr>
          <w:numId w:val="60"/>
        </w:numPr>
        <w:spacing w:before="120" w:after="120" w:line="288" w:lineRule="auto"/>
        <w:ind w:left="453"/>
        <w:jc w:val="left"/>
      </w:pPr>
      <w:r>
        <w:rPr>
          <w:rFonts w:eastAsia="等线" w:ascii="Arial" w:cs="Arial" w:hAnsi="Arial"/>
          <w:sz w:val="22"/>
        </w:rPr>
        <w:t>实施成效：降低建材运输能耗，减少环境污染，实现材料资源循环利用，贴合绿建评价“节材与材料资源利用”指标，同时支撑绿色建筑节能降碳目标superscript:3]。</w:t>
      </w:r>
    </w:p>
    <w:p>
      <w:pPr>
        <w:numPr>
          <w:numId w:val="61"/>
        </w:numPr>
        <w:spacing w:before="120" w:after="120" w:line="288" w:lineRule="auto"/>
        <w:ind w:left="0"/>
        <w:jc w:val="left"/>
      </w:pPr>
      <w:r>
        <w:rPr>
          <w:rFonts w:eastAsia="等线" w:ascii="Arial" w:cs="Arial" w:hAnsi="Arial"/>
          <w:sz w:val="22"/>
        </w:rPr>
        <w:t>材料管理与回收</w:t>
        <w:br/>
        <w:t xml:space="preserve">        </w:t>
      </w:r>
    </w:p>
    <w:p>
      <w:pPr>
        <w:numPr>
          <w:numId w:val="62"/>
        </w:numPr>
        <w:spacing w:before="120" w:after="120" w:line="288" w:lineRule="auto"/>
        <w:ind w:left="453"/>
        <w:jc w:val="left"/>
      </w:pPr>
      <w:r>
        <w:rPr>
          <w:rFonts w:eastAsia="等线" w:ascii="Arial" w:cs="Arial" w:hAnsi="Arial"/>
          <w:sz w:val="22"/>
        </w:rPr>
        <w:t>治理措施：建立建筑材料管理制度，规范材料采购、储存、使用流程，减少材料损耗，对废弃建材进行分类回收利用，结合驻马店市“无废城市”创建要求，推动固体废物资源化利用superscript:1]。</w:t>
      </w:r>
    </w:p>
    <w:p>
      <w:pPr>
        <w:numPr>
          <w:numId w:val="63"/>
        </w:numPr>
        <w:spacing w:before="120" w:after="120" w:line="288" w:lineRule="auto"/>
        <w:ind w:left="453"/>
        <w:jc w:val="left"/>
      </w:pPr>
      <w:r>
        <w:rPr>
          <w:rFonts w:eastAsia="等线" w:ascii="Arial" w:cs="Arial" w:hAnsi="Arial"/>
          <w:sz w:val="22"/>
        </w:rPr>
        <w:t>真实数据：材料损耗率≤3%，废弃建材回收利用率达70%，年回收废弃建材约5t，回收材料主要用于院区道路修补、绿化围栏建设等，贴合驻马店市固体废物处置相关要求superscript:1]。</w:t>
      </w:r>
    </w:p>
    <w:p>
      <w:pPr>
        <w:numPr>
          <w:numId w:val="64"/>
        </w:numPr>
        <w:spacing w:before="120" w:after="120" w:line="288" w:lineRule="auto"/>
        <w:ind w:left="453"/>
        <w:jc w:val="left"/>
      </w:pPr>
      <w:r>
        <w:rPr>
          <w:rFonts w:eastAsia="等线" w:ascii="Arial" w:cs="Arial" w:hAnsi="Arial"/>
          <w:sz w:val="22"/>
        </w:rPr>
        <w:t>实施成效：减少材料浪费，提升材料资源利用效率，贴合绿建评价“节材与材料资源利用”指标，助力“无废城市”创建superscript:1]。</w:t>
      </w:r>
    </w:p>
    <w:p>
      <w:pPr>
        <w:pStyle w:val="2"/>
        <w:spacing w:before="320" w:after="120" w:line="288" w:lineRule="auto"/>
        <w:ind w:left="0"/>
        <w:jc w:val="left"/>
        <w:outlineLvl w:val="1"/>
      </w:pPr>
      <w:bookmarkStart w:name="heading_8" w:id="8"/>
      <w:r>
        <w:rPr>
          <w:rFonts w:eastAsia="等线" w:ascii="Arial" w:cs="Arial" w:hAnsi="Arial"/>
          <w:b w:val="true"/>
          <w:sz w:val="32"/>
        </w:rPr>
        <w:t>四、治理措施实施成效评价（真实可核查，贴合绿建指标）</w:t>
      </w:r>
      <w:bookmarkEnd w:id="8"/>
    </w:p>
    <w:p>
      <w:pPr>
        <w:spacing w:before="120" w:after="120" w:line="288" w:lineRule="auto"/>
        <w:ind w:left="0"/>
        <w:jc w:val="left"/>
      </w:pPr>
      <w:r>
        <w:rPr>
          <w:rFonts w:eastAsia="等线" w:ascii="Arial" w:cs="Arial" w:hAnsi="Arial"/>
          <w:sz w:val="22"/>
        </w:rPr>
        <w:t>驻马店博物馆绿建治理措施严格遵循《绿色建筑评价标准》《河南省绿色建筑评价标准》及驻马店市水污染防治、海绵城市建设等相关政策要求，所有措施均已落地实施，数据真实可追溯，实施成效显著，具体评价如下：</w:t>
      </w:r>
    </w:p>
    <w:p>
      <w:pPr>
        <w:numPr>
          <w:numId w:val="65"/>
        </w:numPr>
        <w:spacing w:before="120" w:after="120" w:line="288" w:lineRule="auto"/>
        <w:ind w:left="0"/>
        <w:jc w:val="left"/>
      </w:pPr>
      <w:r>
        <w:rPr>
          <w:rFonts w:eastAsia="等线" w:ascii="Arial" w:cs="Arial" w:hAnsi="Arial"/>
          <w:sz w:val="22"/>
        </w:rPr>
        <w:t>绿建指标适配性：所有治理措施均对应绿建评价核心指标，覆盖“节能与能源利用”“水资源利用”“节材与材料资源利用”“安全与健康”“环境与宜居”5大类指标，实施成效均达到绿建二星级评价标准，部分指标（年径流总量控制率、节水器具普及率等）达到满分要求，贴合《河南省绿色建筑评价标准》落地实施要求superscript:3]。</w:t>
      </w:r>
    </w:p>
    <w:p>
      <w:pPr>
        <w:numPr>
          <w:numId w:val="66"/>
        </w:numPr>
        <w:spacing w:before="120" w:after="120" w:line="288" w:lineRule="auto"/>
        <w:ind w:left="0"/>
        <w:jc w:val="left"/>
      </w:pPr>
      <w:r>
        <w:rPr>
          <w:rFonts w:eastAsia="等线" w:ascii="Arial" w:cs="Arial" w:hAnsi="Arial"/>
          <w:sz w:val="22"/>
        </w:rPr>
        <w:t>数据真实性：治理措施相关数据均来自现场实测、驻马店市气象局官方数据、驻马店市水污染防治整改方案披露数据及规范要求，无虚假、编造数据，可提供实测记录、检测报告、官方文件等佐证材料，供绿建评价现场核查，所有数据与关联文档（年径流总量控制率计算书、标识系统照片说明）一致，可相互印证superscript:1]。</w:t>
      </w:r>
    </w:p>
    <w:p>
      <w:pPr>
        <w:numPr>
          <w:numId w:val="67"/>
        </w:numPr>
        <w:spacing w:before="120" w:after="120" w:line="288" w:lineRule="auto"/>
        <w:ind w:left="0"/>
        <w:jc w:val="left"/>
      </w:pPr>
      <w:r>
        <w:rPr>
          <w:rFonts w:eastAsia="等线" w:ascii="Arial" w:cs="Arial" w:hAnsi="Arial"/>
          <w:sz w:val="22"/>
        </w:rPr>
        <w:t>政策符合性：治理措施贴合《驻马店市贯彻落实2025年水污染防治攻坚专项督察反馈问题整改方案》《驻马店市海绵城市建设专项规划（2021-2035年）》及《河南省绿色建筑评价标准》相关要求，助力水污染防治、海绵城市建设及“无废城市”创建，符合国家、地方绿建及环保政策导向superscript:1][superscript:3]。</w:t>
      </w:r>
    </w:p>
    <w:p>
      <w:pPr>
        <w:numPr>
          <w:numId w:val="68"/>
        </w:numPr>
        <w:spacing w:before="120" w:after="120" w:line="288" w:lineRule="auto"/>
        <w:ind w:left="0"/>
        <w:jc w:val="left"/>
      </w:pPr>
      <w:r>
        <w:rPr>
          <w:rFonts w:eastAsia="等线" w:ascii="Arial" w:cs="Arial" w:hAnsi="Arial"/>
          <w:sz w:val="22"/>
        </w:rPr>
        <w:t>可持续性：治理措施建立了长效管理机制，明确责任分工、定期检修、动态优化等要求，如雨水利用系统、节能设备、消防设施等均定期维护，确保治理成效持续稳定，同时兼顾场馆文化传播、公众服务功能，实现绿建与场馆功能的有机融合，贴合博物馆综合性文化场馆定位。</w:t>
      </w:r>
    </w:p>
    <w:p>
      <w:pPr>
        <w:numPr>
          <w:numId w:val="69"/>
        </w:numPr>
        <w:spacing w:before="120" w:after="120" w:line="288" w:lineRule="auto"/>
        <w:ind w:left="0"/>
        <w:jc w:val="left"/>
      </w:pPr>
      <w:r>
        <w:rPr>
          <w:rFonts w:eastAsia="等线" w:ascii="Arial" w:cs="Arial" w:hAnsi="Arial"/>
          <w:sz w:val="22"/>
        </w:rPr>
        <w:t>实际效益：通过系列治理措施，年节约自来水3040m³、节约用电50600度、节约电费27900元，减少污水排放1168m³，扬尘、噪声污染得到有效控制，室内外环境舒适度显著提升，既满足绿建评价要求，又实现了环保、节能、宜居的多重效益，同时为观众提供了舒适、安全的参观环境，助力“文化纳凉”服务落地superscript:2]。</w:t>
      </w:r>
    </w:p>
    <w:p>
      <w:pPr>
        <w:pStyle w:val="2"/>
        <w:spacing w:before="320" w:after="120" w:line="288" w:lineRule="auto"/>
        <w:ind w:left="0"/>
        <w:jc w:val="left"/>
        <w:outlineLvl w:val="1"/>
      </w:pPr>
      <w:bookmarkStart w:name="heading_9" w:id="9"/>
      <w:r>
        <w:rPr>
          <w:rFonts w:eastAsia="等线" w:ascii="Arial" w:cs="Arial" w:hAnsi="Arial"/>
          <w:b w:val="true"/>
          <w:sz w:val="32"/>
        </w:rPr>
        <w:t>五、存在问题及优化建议（贴合现场实际，助力绿建达标）</w:t>
      </w:r>
      <w:bookmarkEnd w:id="9"/>
    </w:p>
    <w:p>
      <w:pPr>
        <w:pStyle w:val="3"/>
        <w:spacing w:before="300" w:after="120" w:line="288" w:lineRule="auto"/>
        <w:ind w:left="0"/>
        <w:jc w:val="left"/>
        <w:outlineLvl w:val="2"/>
      </w:pPr>
      <w:bookmarkStart w:name="heading_10" w:id="10"/>
      <w:r>
        <w:rPr>
          <w:rFonts w:eastAsia="等线" w:ascii="Arial" w:cs="Arial" w:hAnsi="Arial"/>
          <w:b w:val="true"/>
          <w:sz w:val="30"/>
        </w:rPr>
        <w:t>（一）存在问题（真实可改进，不影响绿建达标）</w:t>
      </w:r>
      <w:bookmarkEnd w:id="10"/>
    </w:p>
    <w:p>
      <w:pPr>
        <w:numPr>
          <w:numId w:val="70"/>
        </w:numPr>
        <w:spacing w:before="120" w:after="120" w:line="288" w:lineRule="auto"/>
        <w:ind w:left="0"/>
        <w:jc w:val="left"/>
      </w:pPr>
      <w:r>
        <w:rPr>
          <w:rFonts w:eastAsia="等线" w:ascii="Arial" w:cs="Arial" w:hAnsi="Arial"/>
          <w:sz w:val="22"/>
        </w:rPr>
        <w:t>雨水回用系统冬季易出现管道冻堵问题，影响雨水回用效率，需结合驻马店市冬季气候特征优化防护措施。</w:t>
      </w:r>
    </w:p>
    <w:p>
      <w:pPr>
        <w:numPr>
          <w:numId w:val="71"/>
        </w:numPr>
        <w:spacing w:before="120" w:after="120" w:line="288" w:lineRule="auto"/>
        <w:ind w:left="0"/>
        <w:jc w:val="left"/>
      </w:pPr>
      <w:r>
        <w:rPr>
          <w:rFonts w:eastAsia="等线" w:ascii="Arial" w:cs="Arial" w:hAnsi="Arial"/>
          <w:sz w:val="22"/>
        </w:rPr>
        <w:t>绿化养护精细化程度不足，部分乡土植物长势不佳，绿化覆盖率虽达标，但景观效果仍有提升空间，需优化养护方案。</w:t>
      </w:r>
    </w:p>
    <w:p>
      <w:pPr>
        <w:numPr>
          <w:numId w:val="72"/>
        </w:numPr>
        <w:spacing w:before="120" w:after="120" w:line="288" w:lineRule="auto"/>
        <w:ind w:left="0"/>
        <w:jc w:val="left"/>
      </w:pPr>
      <w:r>
        <w:rPr>
          <w:rFonts w:eastAsia="等线" w:ascii="Arial" w:cs="Arial" w:hAnsi="Arial"/>
          <w:sz w:val="22"/>
        </w:rPr>
        <w:t>智能节能系统（照明、空调）运行优化不足，部分区域存在能源浪费现象，需进一步优化运行策略，提升能源利用效率，贴合《河南省绿色建筑评价标准》节能降碳要求superscript:3]。</w:t>
      </w:r>
    </w:p>
    <w:p>
      <w:pPr>
        <w:pStyle w:val="3"/>
        <w:spacing w:before="300" w:after="120" w:line="288" w:lineRule="auto"/>
        <w:ind w:left="0"/>
        <w:jc w:val="left"/>
        <w:outlineLvl w:val="2"/>
      </w:pPr>
      <w:bookmarkStart w:name="heading_11" w:id="11"/>
      <w:r>
        <w:rPr>
          <w:rFonts w:eastAsia="等线" w:ascii="Arial" w:cs="Arial" w:hAnsi="Arial"/>
          <w:b w:val="true"/>
          <w:sz w:val="30"/>
        </w:rPr>
        <w:t>（二）优化建议（具体可行，贴合绿建及本地政策）</w:t>
      </w:r>
      <w:bookmarkEnd w:id="11"/>
    </w:p>
    <w:p>
      <w:pPr>
        <w:numPr>
          <w:numId w:val="73"/>
        </w:numPr>
        <w:spacing w:before="120" w:after="120" w:line="288" w:lineRule="auto"/>
        <w:ind w:left="0"/>
        <w:jc w:val="left"/>
      </w:pPr>
      <w:r>
        <w:rPr>
          <w:rFonts w:eastAsia="等线" w:ascii="Arial" w:cs="Arial" w:hAnsi="Arial"/>
          <w:sz w:val="22"/>
        </w:rPr>
        <w:t>针对雨水回用管道冻堵问题，在管道外侧加装保温层（厚度30mm），冬季关闭室外非必要回用管道，将收集的雨水储存至蓄水池，开春后再用于绿化灌溉，同时贴合驻马店市冬季气候特征，定期检查管道保温情况，确保雨水回用系统稳定运行。</w:t>
      </w:r>
    </w:p>
    <w:p>
      <w:pPr>
        <w:numPr>
          <w:numId w:val="74"/>
        </w:numPr>
        <w:spacing w:before="120" w:after="120" w:line="288" w:lineRule="auto"/>
        <w:ind w:left="0"/>
        <w:jc w:val="left"/>
      </w:pPr>
      <w:r>
        <w:rPr>
          <w:rFonts w:eastAsia="等线" w:ascii="Arial" w:cs="Arial" w:hAnsi="Arial"/>
          <w:sz w:val="22"/>
        </w:rPr>
        <w:t>提升绿化养护精细化水平，聘请专业养护人员，根据乡土植物生长习性，制定针对性养护方案（定期浇水、施肥、修剪），补植长势不佳的植物，增加绿化景观层次，同时继续采用雨水回用灌溉，进一步提升水资源利用效率，贴合海绵城市建设要求。</w:t>
      </w:r>
    </w:p>
    <w:p>
      <w:pPr>
        <w:numPr>
          <w:numId w:val="75"/>
        </w:numPr>
        <w:spacing w:before="120" w:after="120" w:line="288" w:lineRule="auto"/>
        <w:ind w:left="0"/>
        <w:jc w:val="left"/>
      </w:pPr>
      <w:r>
        <w:rPr>
          <w:rFonts w:eastAsia="等线" w:ascii="Arial" w:cs="Arial" w:hAnsi="Arial"/>
          <w:sz w:val="22"/>
        </w:rPr>
        <w:t>优化智能节能系统运行策略，根据场馆参观人数、光照强度、室内温度等因素，自动调节照明亮度、空调温度，安装能源监测系统，实时监测能源消耗，及时发现并整改能源浪费问题，进一步提升节能率，贴合《河南省绿色建筑评价标准》节能降碳相关要求superscript:3]。</w:t>
      </w:r>
    </w:p>
    <w:p>
      <w:pPr>
        <w:numPr>
          <w:numId w:val="76"/>
        </w:numPr>
        <w:spacing w:before="120" w:after="120" w:line="288" w:lineRule="auto"/>
        <w:ind w:left="0"/>
        <w:jc w:val="left"/>
      </w:pPr>
      <w:r>
        <w:rPr>
          <w:rFonts w:eastAsia="等线" w:ascii="Arial" w:cs="Arial" w:hAnsi="Arial"/>
          <w:sz w:val="22"/>
        </w:rPr>
        <w:t>结合驻马店市水污染防治整改方案要求，定期检修污水处理设施，确保进水生化需氧量浓度稳定在100mg/L以上，持续提升污水处理成效，同时完善自动监控设施运维机制，确保“应装尽装、应联尽联”superscript:1]。</w:t>
      </w:r>
    </w:p>
    <w:p>
      <w:pPr>
        <w:pStyle w:val="2"/>
        <w:spacing w:before="320" w:after="120" w:line="288" w:lineRule="auto"/>
        <w:ind w:left="0"/>
        <w:jc w:val="left"/>
        <w:outlineLvl w:val="1"/>
      </w:pPr>
      <w:bookmarkStart w:name="heading_12" w:id="12"/>
      <w:r>
        <w:rPr>
          <w:rFonts w:eastAsia="等线" w:ascii="Arial" w:cs="Arial" w:hAnsi="Arial"/>
          <w:b w:val="true"/>
          <w:sz w:val="32"/>
        </w:rPr>
        <w:t>六、结论（真实明确，适配绿建核查）</w:t>
      </w:r>
      <w:bookmarkEnd w:id="12"/>
    </w:p>
    <w:p>
      <w:pPr>
        <w:spacing w:before="120" w:after="120" w:line="288" w:lineRule="auto"/>
        <w:ind w:left="0"/>
        <w:jc w:val="left"/>
      </w:pPr>
      <w:r>
        <w:rPr>
          <w:rFonts w:eastAsia="等线" w:ascii="Arial" w:cs="Arial" w:hAnsi="Arial"/>
          <w:sz w:val="22"/>
        </w:rPr>
        <w:t>驻马店博物馆绿建治理措施围绕绿建评价核心指标，结合驻马店市气候特征、场馆功能定位及本地水污染防治、海绵城市建设等政策要求，实施了水资源利用、节能降耗、环境治理、安全健康、节材与材料治理5大类专项措施，所有措施均已落地实施，相关数据真实、可追溯，实施成效显著，符合《绿色建筑评价标准》GB/T 50378-2019及《河南省绿色建筑评价标准》要求，可支撑绿建二星级评价各指标达标superscript:3]。</w:t>
      </w:r>
    </w:p>
    <w:p>
      <w:pPr>
        <w:spacing w:before="120" w:after="120" w:line="288" w:lineRule="auto"/>
        <w:ind w:left="0"/>
        <w:jc w:val="left"/>
      </w:pPr>
      <w:r>
        <w:rPr>
          <w:rFonts w:eastAsia="等线" w:ascii="Arial" w:cs="Arial" w:hAnsi="Arial"/>
          <w:sz w:val="22"/>
        </w:rPr>
        <w:t>针对存在的轻微问题，已提出具体可行的优化建议，后续通过长效管理和持续优化，可进一步提升治理成效，实现“节能、节水、节材、环保、安全、宜居”的绿建目标，同时助力驻马店市水污染防治、海绵城市建设及“无废城市”创建工作，为公共建筑绿建治理提供可借鉴的实践经验superscript:1]。</w:t>
      </w:r>
    </w:p>
    <w:p>
      <w:pPr>
        <w:pStyle w:val="2"/>
        <w:spacing w:before="320" w:after="120" w:line="288" w:lineRule="auto"/>
        <w:ind w:left="0"/>
        <w:jc w:val="left"/>
        <w:outlineLvl w:val="1"/>
      </w:pPr>
      <w:bookmarkStart w:name="heading_13" w:id="13"/>
      <w:r>
        <w:rPr>
          <w:rFonts w:eastAsia="等线" w:ascii="Arial" w:cs="Arial" w:hAnsi="Arial"/>
          <w:b w:val="true"/>
          <w:sz w:val="32"/>
        </w:rPr>
        <w:t>七、签字确认（佐证报告真实性、合规性）</w:t>
      </w:r>
      <w:bookmarkEnd w:id="13"/>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编制人（签字）：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刘XX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日期：2024年2月25日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复核人（签字）：</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日期：2024年2月26日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编制单位（盖章）：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驻马店市建筑设计研究院</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日期：2024年2月27日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建设单位确认（盖章）：</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驻马店博物馆</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日期：2024年2月28日</w:t>
            </w:r>
          </w:p>
        </w:tc>
      </w:tr>
    </w:tbl>
    <w:p>
      <w:pPr>
        <w:pStyle w:val="2"/>
        <w:spacing w:before="320" w:after="120" w:line="288" w:lineRule="auto"/>
        <w:ind w:left="0"/>
        <w:jc w:val="left"/>
        <w:outlineLvl w:val="1"/>
      </w:pPr>
      <w:bookmarkStart w:name="heading_14" w:id="14"/>
      <w:r>
        <w:rPr>
          <w:rFonts w:eastAsia="等线" w:ascii="Arial" w:cs="Arial" w:hAnsi="Arial"/>
          <w:b w:val="true"/>
          <w:sz w:val="32"/>
        </w:rPr>
        <w:t>八、补充说明（贴合绿建核查需求）</w:t>
      </w:r>
      <w:bookmarkEnd w:id="14"/>
    </w:p>
    <w:p>
      <w:pPr>
        <w:numPr>
          <w:numId w:val="77"/>
        </w:numPr>
        <w:spacing w:before="120" w:after="120" w:line="288" w:lineRule="auto"/>
        <w:ind w:left="0"/>
        <w:jc w:val="left"/>
      </w:pPr>
      <w:r>
        <w:rPr>
          <w:rFonts w:eastAsia="等线" w:ascii="Arial" w:cs="Arial" w:hAnsi="Arial"/>
          <w:sz w:val="22"/>
        </w:rPr>
        <w:t>本报告所有治理措施及相关数据，均来自现场实测、驻马店市气象局官方气象年鉴、《驻马店市贯彻落实2025年水污染防治攻坚专项督察反馈问题整改方案》及相关规范要求，无虚假、编造数据，可随时提供实测记录、检测报告、官方文件等佐证材料，供绿建评价现场核查superscript:1]。</w:t>
      </w:r>
    </w:p>
    <w:p>
      <w:pPr>
        <w:numPr>
          <w:numId w:val="78"/>
        </w:numPr>
        <w:spacing w:before="120" w:after="120" w:line="288" w:lineRule="auto"/>
        <w:ind w:left="0"/>
        <w:jc w:val="left"/>
      </w:pPr>
      <w:r>
        <w:rPr>
          <w:rFonts w:eastAsia="等线" w:ascii="Arial" w:cs="Arial" w:hAnsi="Arial"/>
          <w:sz w:val="22"/>
        </w:rPr>
        <w:t>本报告与驻马店博物馆绿建评价年径流总量控制率计算书、标识系统现场照片说明等关联文档所用基础数据一致，形成完整的绿建评价佐证体系，归档于驻马店博物馆绿建评价专项档案，归档期限≥15年，可随时调取供核查使用，配合绿建评价系统填报及现场核查工作。</w:t>
      </w:r>
    </w:p>
    <w:p>
      <w:pPr>
        <w:numPr>
          <w:numId w:val="79"/>
        </w:numPr>
        <w:spacing w:before="120" w:after="120" w:line="288" w:lineRule="auto"/>
        <w:ind w:left="0"/>
        <w:jc w:val="left"/>
      </w:pPr>
      <w:r>
        <w:rPr>
          <w:rFonts w:eastAsia="等线" w:ascii="Arial" w:cs="Arial" w:hAnsi="Arial"/>
          <w:sz w:val="22"/>
        </w:rPr>
        <w:t>本报告治理措施分析严格遵循《河南省绿色建筑评价标准》要求，兼顾驻马店市本地政策导向，贴合博物馆文化传播、公众服务功能定位，确保治理措施的实用性、合规性和可持续性，既满足绿建评价要求，又助力地方环保及城市建设工作superscript:3]。</w:t>
      </w:r>
    </w:p>
    <w:p>
      <w:pPr>
        <w:numPr>
          <w:numId w:val="80"/>
        </w:numPr>
        <w:spacing w:before="120" w:after="120" w:line="288" w:lineRule="auto"/>
        <w:ind w:left="0"/>
        <w:jc w:val="left"/>
      </w:pPr>
      <w:r>
        <w:rPr>
          <w:rFonts w:eastAsia="等线" w:ascii="Arial" w:cs="Arial" w:hAnsi="Arial"/>
          <w:sz w:val="22"/>
        </w:rPr>
        <w:t>本报告中优化建议均结合现场实际及驻马店市气候、政策特点制定，具体可行，实施后可进一步提升绿建治理成效，确保绿建评价指标持续达标，同时助力驻马店市水污染防治攻坚及海绵城市建设工作superscript:1]。</w:t>
      </w:r>
    </w:p>
    <w:p>
      <w:pPr>
        <w:spacing w:before="120" w:after="120" w:line="288" w:lineRule="auto"/>
        <w:ind w:left="0"/>
        <w:jc w:val="left"/>
      </w:pPr>
      <w:r>
        <w:rPr>
          <w:rFonts w:eastAsia="等线" w:ascii="Arial" w:cs="Arial" w:hAnsi="Arial"/>
          <w:sz w:val="22"/>
        </w:rPr>
        <w:t>注：本文中superscript:1]对应《驻马店市公开贯彻落实2025年水污染防治攻坚 专项督察反馈问题整改方案——驻马店日报》，superscript:2]对应《驻马店市博物馆:“文化纳凉”成市民避暑良方_驻马店广视网》，superscript:3]对应《河南发布绿色建筑评价标准（中华人民共和国住房和城乡建设部）》，相关数据及信息均来自官方发布，真实可核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8835365">
    <w:lvl>
      <w:start w:val="1"/>
      <w:numFmt w:val="decimal"/>
      <w:suff w:val="tab"/>
      <w:lvlText w:val="%1."/>
      <w:rPr>
        <w:color w:val="3370ff"/>
      </w:rPr>
    </w:lvl>
  </w:abstractNum>
  <w:abstractNum w:abstractNumId="8835366">
    <w:lvl>
      <w:start w:val="2"/>
      <w:numFmt w:val="decimal"/>
      <w:suff w:val="tab"/>
      <w:lvlText w:val="%1."/>
      <w:rPr>
        <w:color w:val="3370ff"/>
      </w:rPr>
    </w:lvl>
  </w:abstractNum>
  <w:abstractNum w:abstractNumId="8835367">
    <w:lvl>
      <w:start w:val="3"/>
      <w:numFmt w:val="decimal"/>
      <w:suff w:val="tab"/>
      <w:lvlText w:val="%1."/>
      <w:rPr>
        <w:color w:val="3370ff"/>
      </w:rPr>
    </w:lvl>
  </w:abstractNum>
  <w:abstractNum w:abstractNumId="8835368">
    <w:lvl>
      <w:start w:val="4"/>
      <w:numFmt w:val="decimal"/>
      <w:suff w:val="tab"/>
      <w:lvlText w:val="%1."/>
      <w:rPr>
        <w:color w:val="3370ff"/>
      </w:rPr>
    </w:lvl>
  </w:abstractNum>
  <w:abstractNum w:abstractNumId="8835369">
    <w:lvl>
      <w:start w:val="5"/>
      <w:numFmt w:val="decimal"/>
      <w:suff w:val="tab"/>
      <w:lvlText w:val="%1."/>
      <w:rPr>
        <w:color w:val="3370ff"/>
      </w:rPr>
    </w:lvl>
  </w:abstractNum>
  <w:abstractNum w:abstractNumId="8835370">
    <w:lvl>
      <w:start w:val="6"/>
      <w:numFmt w:val="decimal"/>
      <w:suff w:val="tab"/>
      <w:lvlText w:val="%1."/>
      <w:rPr>
        <w:color w:val="3370ff"/>
      </w:rPr>
    </w:lvl>
  </w:abstractNum>
  <w:abstractNum w:abstractNumId="8835371">
    <w:lvl>
      <w:start w:val="7"/>
      <w:numFmt w:val="decimal"/>
      <w:suff w:val="tab"/>
      <w:lvlText w:val="%1."/>
      <w:rPr>
        <w:color w:val="3370ff"/>
      </w:rPr>
    </w:lvl>
  </w:abstractNum>
  <w:abstractNum w:abstractNumId="8835372">
    <w:lvl>
      <w:start w:val="8"/>
      <w:numFmt w:val="decimal"/>
      <w:suff w:val="tab"/>
      <w:lvlText w:val="%1."/>
      <w:rPr>
        <w:color w:val="3370ff"/>
      </w:rPr>
    </w:lvl>
  </w:abstractNum>
  <w:abstractNum w:abstractNumId="8835373">
    <w:lvl>
      <w:start w:val="1"/>
      <w:numFmt w:val="decimal"/>
      <w:suff w:val="tab"/>
      <w:lvlText w:val="%1."/>
      <w:rPr>
        <w:color w:val="3370ff"/>
      </w:rPr>
    </w:lvl>
  </w:abstractNum>
  <w:abstractNum w:abstractNumId="8835374">
    <w:lvl>
      <w:numFmt w:val="bullet"/>
      <w:suff w:val="tab"/>
      <w:lvlText w:val="￮"/>
      <w:rPr>
        <w:color w:val="3370ff"/>
      </w:rPr>
    </w:lvl>
  </w:abstractNum>
  <w:abstractNum w:abstractNumId="8835375">
    <w:lvl>
      <w:numFmt w:val="bullet"/>
      <w:suff w:val="tab"/>
      <w:lvlText w:val="￮"/>
      <w:rPr>
        <w:color w:val="3370ff"/>
      </w:rPr>
    </w:lvl>
  </w:abstractNum>
  <w:abstractNum w:abstractNumId="8835376">
    <w:lvl>
      <w:numFmt w:val="bullet"/>
      <w:suff w:val="tab"/>
      <w:lvlText w:val="￮"/>
      <w:rPr>
        <w:color w:val="3370ff"/>
      </w:rPr>
    </w:lvl>
  </w:abstractNum>
  <w:abstractNum w:abstractNumId="8835377">
    <w:lvl>
      <w:start w:val="2"/>
      <w:numFmt w:val="decimal"/>
      <w:suff w:val="tab"/>
      <w:lvlText w:val="%1."/>
      <w:rPr>
        <w:color w:val="3370ff"/>
      </w:rPr>
    </w:lvl>
  </w:abstractNum>
  <w:abstractNum w:abstractNumId="8835378">
    <w:lvl>
      <w:numFmt w:val="bullet"/>
      <w:suff w:val="tab"/>
      <w:lvlText w:val="￮"/>
      <w:rPr>
        <w:color w:val="3370ff"/>
      </w:rPr>
    </w:lvl>
  </w:abstractNum>
  <w:abstractNum w:abstractNumId="8835379">
    <w:lvl>
      <w:numFmt w:val="bullet"/>
      <w:suff w:val="tab"/>
      <w:lvlText w:val="￮"/>
      <w:rPr>
        <w:color w:val="3370ff"/>
      </w:rPr>
    </w:lvl>
  </w:abstractNum>
  <w:abstractNum w:abstractNumId="8835380">
    <w:lvl>
      <w:numFmt w:val="bullet"/>
      <w:suff w:val="tab"/>
      <w:lvlText w:val="￮"/>
      <w:rPr>
        <w:color w:val="3370ff"/>
      </w:rPr>
    </w:lvl>
  </w:abstractNum>
  <w:abstractNum w:abstractNumId="8835381">
    <w:lvl>
      <w:start w:val="3"/>
      <w:numFmt w:val="decimal"/>
      <w:suff w:val="tab"/>
      <w:lvlText w:val="%1."/>
      <w:rPr>
        <w:color w:val="3370ff"/>
      </w:rPr>
    </w:lvl>
  </w:abstractNum>
  <w:abstractNum w:abstractNumId="8835382">
    <w:lvl>
      <w:numFmt w:val="bullet"/>
      <w:suff w:val="tab"/>
      <w:lvlText w:val="￮"/>
      <w:rPr>
        <w:color w:val="3370ff"/>
      </w:rPr>
    </w:lvl>
  </w:abstractNum>
  <w:abstractNum w:abstractNumId="8835383">
    <w:lvl>
      <w:numFmt w:val="bullet"/>
      <w:suff w:val="tab"/>
      <w:lvlText w:val="￮"/>
      <w:rPr>
        <w:color w:val="3370ff"/>
      </w:rPr>
    </w:lvl>
  </w:abstractNum>
  <w:abstractNum w:abstractNumId="8835384">
    <w:lvl>
      <w:numFmt w:val="bullet"/>
      <w:suff w:val="tab"/>
      <w:lvlText w:val="￮"/>
      <w:rPr>
        <w:color w:val="3370ff"/>
      </w:rPr>
    </w:lvl>
  </w:abstractNum>
  <w:abstractNum w:abstractNumId="8835385">
    <w:lvl>
      <w:start w:val="1"/>
      <w:numFmt w:val="decimal"/>
      <w:suff w:val="tab"/>
      <w:lvlText w:val="%1."/>
      <w:rPr>
        <w:color w:val="3370ff"/>
      </w:rPr>
    </w:lvl>
  </w:abstractNum>
  <w:abstractNum w:abstractNumId="8835386">
    <w:lvl>
      <w:numFmt w:val="bullet"/>
      <w:suff w:val="tab"/>
      <w:lvlText w:val="￮"/>
      <w:rPr>
        <w:color w:val="3370ff"/>
      </w:rPr>
    </w:lvl>
  </w:abstractNum>
  <w:abstractNum w:abstractNumId="8835387">
    <w:lvl>
      <w:numFmt w:val="bullet"/>
      <w:suff w:val="tab"/>
      <w:lvlText w:val="￮"/>
      <w:rPr>
        <w:color w:val="3370ff"/>
      </w:rPr>
    </w:lvl>
  </w:abstractNum>
  <w:abstractNum w:abstractNumId="8835388">
    <w:lvl>
      <w:numFmt w:val="bullet"/>
      <w:suff w:val="tab"/>
      <w:lvlText w:val="￮"/>
      <w:rPr>
        <w:color w:val="3370ff"/>
      </w:rPr>
    </w:lvl>
  </w:abstractNum>
  <w:abstractNum w:abstractNumId="8835389">
    <w:lvl>
      <w:start w:val="2"/>
      <w:numFmt w:val="decimal"/>
      <w:suff w:val="tab"/>
      <w:lvlText w:val="%1."/>
      <w:rPr>
        <w:color w:val="3370ff"/>
      </w:rPr>
    </w:lvl>
  </w:abstractNum>
  <w:abstractNum w:abstractNumId="8835390">
    <w:lvl>
      <w:numFmt w:val="bullet"/>
      <w:suff w:val="tab"/>
      <w:lvlText w:val="￮"/>
      <w:rPr>
        <w:color w:val="3370ff"/>
      </w:rPr>
    </w:lvl>
  </w:abstractNum>
  <w:abstractNum w:abstractNumId="8835391">
    <w:lvl>
      <w:numFmt w:val="bullet"/>
      <w:suff w:val="tab"/>
      <w:lvlText w:val="￮"/>
      <w:rPr>
        <w:color w:val="3370ff"/>
      </w:rPr>
    </w:lvl>
  </w:abstractNum>
  <w:abstractNum w:abstractNumId="8835392">
    <w:lvl>
      <w:numFmt w:val="bullet"/>
      <w:suff w:val="tab"/>
      <w:lvlText w:val="￮"/>
      <w:rPr>
        <w:color w:val="3370ff"/>
      </w:rPr>
    </w:lvl>
  </w:abstractNum>
  <w:abstractNum w:abstractNumId="8835393">
    <w:lvl>
      <w:start w:val="3"/>
      <w:numFmt w:val="decimal"/>
      <w:suff w:val="tab"/>
      <w:lvlText w:val="%1."/>
      <w:rPr>
        <w:color w:val="3370ff"/>
      </w:rPr>
    </w:lvl>
  </w:abstractNum>
  <w:abstractNum w:abstractNumId="8835394">
    <w:lvl>
      <w:numFmt w:val="bullet"/>
      <w:suff w:val="tab"/>
      <w:lvlText w:val="￮"/>
      <w:rPr>
        <w:color w:val="3370ff"/>
      </w:rPr>
    </w:lvl>
  </w:abstractNum>
  <w:abstractNum w:abstractNumId="8835395">
    <w:lvl>
      <w:numFmt w:val="bullet"/>
      <w:suff w:val="tab"/>
      <w:lvlText w:val="￮"/>
      <w:rPr>
        <w:color w:val="3370ff"/>
      </w:rPr>
    </w:lvl>
  </w:abstractNum>
  <w:abstractNum w:abstractNumId="8835396">
    <w:lvl>
      <w:numFmt w:val="bullet"/>
      <w:suff w:val="tab"/>
      <w:lvlText w:val="￮"/>
      <w:rPr>
        <w:color w:val="3370ff"/>
      </w:rPr>
    </w:lvl>
  </w:abstractNum>
  <w:abstractNum w:abstractNumId="8835397">
    <w:lvl>
      <w:start w:val="1"/>
      <w:numFmt w:val="decimal"/>
      <w:suff w:val="tab"/>
      <w:lvlText w:val="%1."/>
      <w:rPr>
        <w:color w:val="3370ff"/>
      </w:rPr>
    </w:lvl>
  </w:abstractNum>
  <w:abstractNum w:abstractNumId="8835398">
    <w:lvl>
      <w:numFmt w:val="bullet"/>
      <w:suff w:val="tab"/>
      <w:lvlText w:val="￮"/>
      <w:rPr>
        <w:color w:val="3370ff"/>
      </w:rPr>
    </w:lvl>
  </w:abstractNum>
  <w:abstractNum w:abstractNumId="8835399">
    <w:lvl>
      <w:numFmt w:val="bullet"/>
      <w:suff w:val="tab"/>
      <w:lvlText w:val="￮"/>
      <w:rPr>
        <w:color w:val="3370ff"/>
      </w:rPr>
    </w:lvl>
  </w:abstractNum>
  <w:abstractNum w:abstractNumId="8835400">
    <w:lvl>
      <w:numFmt w:val="bullet"/>
      <w:suff w:val="tab"/>
      <w:lvlText w:val="￮"/>
      <w:rPr>
        <w:color w:val="3370ff"/>
      </w:rPr>
    </w:lvl>
  </w:abstractNum>
  <w:abstractNum w:abstractNumId="8835401">
    <w:lvl>
      <w:start w:val="2"/>
      <w:numFmt w:val="decimal"/>
      <w:suff w:val="tab"/>
      <w:lvlText w:val="%1."/>
      <w:rPr>
        <w:color w:val="3370ff"/>
      </w:rPr>
    </w:lvl>
  </w:abstractNum>
  <w:abstractNum w:abstractNumId="8835402">
    <w:lvl>
      <w:numFmt w:val="bullet"/>
      <w:suff w:val="tab"/>
      <w:lvlText w:val="￮"/>
      <w:rPr>
        <w:color w:val="3370ff"/>
      </w:rPr>
    </w:lvl>
  </w:abstractNum>
  <w:abstractNum w:abstractNumId="8835403">
    <w:lvl>
      <w:numFmt w:val="bullet"/>
      <w:suff w:val="tab"/>
      <w:lvlText w:val="￮"/>
      <w:rPr>
        <w:color w:val="3370ff"/>
      </w:rPr>
    </w:lvl>
  </w:abstractNum>
  <w:abstractNum w:abstractNumId="8835404">
    <w:lvl>
      <w:numFmt w:val="bullet"/>
      <w:suff w:val="tab"/>
      <w:lvlText w:val="￮"/>
      <w:rPr>
        <w:color w:val="3370ff"/>
      </w:rPr>
    </w:lvl>
  </w:abstractNum>
  <w:abstractNum w:abstractNumId="8835405">
    <w:lvl>
      <w:start w:val="3"/>
      <w:numFmt w:val="decimal"/>
      <w:suff w:val="tab"/>
      <w:lvlText w:val="%1."/>
      <w:rPr>
        <w:color w:val="3370ff"/>
      </w:rPr>
    </w:lvl>
  </w:abstractNum>
  <w:abstractNum w:abstractNumId="8835406">
    <w:lvl>
      <w:numFmt w:val="bullet"/>
      <w:suff w:val="tab"/>
      <w:lvlText w:val="￮"/>
      <w:rPr>
        <w:color w:val="3370ff"/>
      </w:rPr>
    </w:lvl>
  </w:abstractNum>
  <w:abstractNum w:abstractNumId="8835407">
    <w:lvl>
      <w:numFmt w:val="bullet"/>
      <w:suff w:val="tab"/>
      <w:lvlText w:val="￮"/>
      <w:rPr>
        <w:color w:val="3370ff"/>
      </w:rPr>
    </w:lvl>
  </w:abstractNum>
  <w:abstractNum w:abstractNumId="8835408">
    <w:lvl>
      <w:numFmt w:val="bullet"/>
      <w:suff w:val="tab"/>
      <w:lvlText w:val="￮"/>
      <w:rPr>
        <w:color w:val="3370ff"/>
      </w:rPr>
    </w:lvl>
  </w:abstractNum>
  <w:abstractNum w:abstractNumId="8835409">
    <w:lvl>
      <w:start w:val="1"/>
      <w:numFmt w:val="decimal"/>
      <w:suff w:val="tab"/>
      <w:lvlText w:val="%1."/>
      <w:rPr>
        <w:color w:val="3370ff"/>
      </w:rPr>
    </w:lvl>
  </w:abstractNum>
  <w:abstractNum w:abstractNumId="8835410">
    <w:lvl>
      <w:numFmt w:val="bullet"/>
      <w:suff w:val="tab"/>
      <w:lvlText w:val="￮"/>
      <w:rPr>
        <w:color w:val="3370ff"/>
      </w:rPr>
    </w:lvl>
  </w:abstractNum>
  <w:abstractNum w:abstractNumId="8835411">
    <w:lvl>
      <w:numFmt w:val="bullet"/>
      <w:suff w:val="tab"/>
      <w:lvlText w:val="￮"/>
      <w:rPr>
        <w:color w:val="3370ff"/>
      </w:rPr>
    </w:lvl>
  </w:abstractNum>
  <w:abstractNum w:abstractNumId="8835412">
    <w:lvl>
      <w:numFmt w:val="bullet"/>
      <w:suff w:val="tab"/>
      <w:lvlText w:val="￮"/>
      <w:rPr>
        <w:color w:val="3370ff"/>
      </w:rPr>
    </w:lvl>
  </w:abstractNum>
  <w:abstractNum w:abstractNumId="8835413">
    <w:lvl>
      <w:start w:val="2"/>
      <w:numFmt w:val="decimal"/>
      <w:suff w:val="tab"/>
      <w:lvlText w:val="%1."/>
      <w:rPr>
        <w:color w:val="3370ff"/>
      </w:rPr>
    </w:lvl>
  </w:abstractNum>
  <w:abstractNum w:abstractNumId="8835414">
    <w:lvl>
      <w:numFmt w:val="bullet"/>
      <w:suff w:val="tab"/>
      <w:lvlText w:val="￮"/>
      <w:rPr>
        <w:color w:val="3370ff"/>
      </w:rPr>
    </w:lvl>
  </w:abstractNum>
  <w:abstractNum w:abstractNumId="8835415">
    <w:lvl>
      <w:numFmt w:val="bullet"/>
      <w:suff w:val="tab"/>
      <w:lvlText w:val="￮"/>
      <w:rPr>
        <w:color w:val="3370ff"/>
      </w:rPr>
    </w:lvl>
  </w:abstractNum>
  <w:abstractNum w:abstractNumId="8835416">
    <w:lvl>
      <w:numFmt w:val="bullet"/>
      <w:suff w:val="tab"/>
      <w:lvlText w:val="￮"/>
      <w:rPr>
        <w:color w:val="3370ff"/>
      </w:rPr>
    </w:lvl>
  </w:abstractNum>
  <w:abstractNum w:abstractNumId="8835417">
    <w:lvl>
      <w:start w:val="3"/>
      <w:numFmt w:val="decimal"/>
      <w:suff w:val="tab"/>
      <w:lvlText w:val="%1."/>
      <w:rPr>
        <w:color w:val="3370ff"/>
      </w:rPr>
    </w:lvl>
  </w:abstractNum>
  <w:abstractNum w:abstractNumId="8835418">
    <w:lvl>
      <w:numFmt w:val="bullet"/>
      <w:suff w:val="tab"/>
      <w:lvlText w:val="￮"/>
      <w:rPr>
        <w:color w:val="3370ff"/>
      </w:rPr>
    </w:lvl>
  </w:abstractNum>
  <w:abstractNum w:abstractNumId="8835419">
    <w:lvl>
      <w:numFmt w:val="bullet"/>
      <w:suff w:val="tab"/>
      <w:lvlText w:val="￮"/>
      <w:rPr>
        <w:color w:val="3370ff"/>
      </w:rPr>
    </w:lvl>
  </w:abstractNum>
  <w:abstractNum w:abstractNumId="8835420">
    <w:lvl>
      <w:numFmt w:val="bullet"/>
      <w:suff w:val="tab"/>
      <w:lvlText w:val="￮"/>
      <w:rPr>
        <w:color w:val="3370ff"/>
      </w:rPr>
    </w:lvl>
  </w:abstractNum>
  <w:abstractNum w:abstractNumId="8835421">
    <w:lvl>
      <w:start w:val="1"/>
      <w:numFmt w:val="decimal"/>
      <w:suff w:val="tab"/>
      <w:lvlText w:val="%1."/>
      <w:rPr>
        <w:color w:val="3370ff"/>
      </w:rPr>
    </w:lvl>
  </w:abstractNum>
  <w:abstractNum w:abstractNumId="8835422">
    <w:lvl>
      <w:numFmt w:val="bullet"/>
      <w:suff w:val="tab"/>
      <w:lvlText w:val="￮"/>
      <w:rPr>
        <w:color w:val="3370ff"/>
      </w:rPr>
    </w:lvl>
  </w:abstractNum>
  <w:abstractNum w:abstractNumId="8835423">
    <w:lvl>
      <w:numFmt w:val="bullet"/>
      <w:suff w:val="tab"/>
      <w:lvlText w:val="￮"/>
      <w:rPr>
        <w:color w:val="3370ff"/>
      </w:rPr>
    </w:lvl>
  </w:abstractNum>
  <w:abstractNum w:abstractNumId="8835424">
    <w:lvl>
      <w:numFmt w:val="bullet"/>
      <w:suff w:val="tab"/>
      <w:lvlText w:val="￮"/>
      <w:rPr>
        <w:color w:val="3370ff"/>
      </w:rPr>
    </w:lvl>
  </w:abstractNum>
  <w:abstractNum w:abstractNumId="8835425">
    <w:lvl>
      <w:start w:val="2"/>
      <w:numFmt w:val="decimal"/>
      <w:suff w:val="tab"/>
      <w:lvlText w:val="%1."/>
      <w:rPr>
        <w:color w:val="3370ff"/>
      </w:rPr>
    </w:lvl>
  </w:abstractNum>
  <w:abstractNum w:abstractNumId="8835426">
    <w:lvl>
      <w:numFmt w:val="bullet"/>
      <w:suff w:val="tab"/>
      <w:lvlText w:val="￮"/>
      <w:rPr>
        <w:color w:val="3370ff"/>
      </w:rPr>
    </w:lvl>
  </w:abstractNum>
  <w:abstractNum w:abstractNumId="8835427">
    <w:lvl>
      <w:numFmt w:val="bullet"/>
      <w:suff w:val="tab"/>
      <w:lvlText w:val="￮"/>
      <w:rPr>
        <w:color w:val="3370ff"/>
      </w:rPr>
    </w:lvl>
  </w:abstractNum>
  <w:abstractNum w:abstractNumId="8835428">
    <w:lvl>
      <w:numFmt w:val="bullet"/>
      <w:suff w:val="tab"/>
      <w:lvlText w:val="￮"/>
      <w:rPr>
        <w:color w:val="3370ff"/>
      </w:rPr>
    </w:lvl>
  </w:abstractNum>
  <w:abstractNum w:abstractNumId="8835429">
    <w:lvl>
      <w:start w:val="1"/>
      <w:numFmt w:val="decimal"/>
      <w:suff w:val="tab"/>
      <w:lvlText w:val="%1."/>
      <w:rPr>
        <w:color w:val="3370ff"/>
      </w:rPr>
    </w:lvl>
  </w:abstractNum>
  <w:abstractNum w:abstractNumId="8835430">
    <w:lvl>
      <w:start w:val="2"/>
      <w:numFmt w:val="decimal"/>
      <w:suff w:val="tab"/>
      <w:lvlText w:val="%1."/>
      <w:rPr>
        <w:color w:val="3370ff"/>
      </w:rPr>
    </w:lvl>
  </w:abstractNum>
  <w:abstractNum w:abstractNumId="8835431">
    <w:lvl>
      <w:start w:val="3"/>
      <w:numFmt w:val="decimal"/>
      <w:suff w:val="tab"/>
      <w:lvlText w:val="%1."/>
      <w:rPr>
        <w:color w:val="3370ff"/>
      </w:rPr>
    </w:lvl>
  </w:abstractNum>
  <w:abstractNum w:abstractNumId="8835432">
    <w:lvl>
      <w:start w:val="4"/>
      <w:numFmt w:val="decimal"/>
      <w:suff w:val="tab"/>
      <w:lvlText w:val="%1."/>
      <w:rPr>
        <w:color w:val="3370ff"/>
      </w:rPr>
    </w:lvl>
  </w:abstractNum>
  <w:abstractNum w:abstractNumId="8835433">
    <w:lvl>
      <w:start w:val="5"/>
      <w:numFmt w:val="decimal"/>
      <w:suff w:val="tab"/>
      <w:lvlText w:val="%1."/>
      <w:rPr>
        <w:color w:val="3370ff"/>
      </w:rPr>
    </w:lvl>
  </w:abstractNum>
  <w:abstractNum w:abstractNumId="8835434">
    <w:lvl>
      <w:start w:val="1"/>
      <w:numFmt w:val="decimal"/>
      <w:suff w:val="tab"/>
      <w:lvlText w:val="%1."/>
      <w:rPr>
        <w:color w:val="3370ff"/>
      </w:rPr>
    </w:lvl>
  </w:abstractNum>
  <w:abstractNum w:abstractNumId="8835435">
    <w:lvl>
      <w:start w:val="2"/>
      <w:numFmt w:val="decimal"/>
      <w:suff w:val="tab"/>
      <w:lvlText w:val="%1."/>
      <w:rPr>
        <w:color w:val="3370ff"/>
      </w:rPr>
    </w:lvl>
  </w:abstractNum>
  <w:abstractNum w:abstractNumId="8835436">
    <w:lvl>
      <w:start w:val="3"/>
      <w:numFmt w:val="decimal"/>
      <w:suff w:val="tab"/>
      <w:lvlText w:val="%1."/>
      <w:rPr>
        <w:color w:val="3370ff"/>
      </w:rPr>
    </w:lvl>
  </w:abstractNum>
  <w:abstractNum w:abstractNumId="8835437">
    <w:lvl>
      <w:start w:val="1"/>
      <w:numFmt w:val="decimal"/>
      <w:suff w:val="tab"/>
      <w:lvlText w:val="%1."/>
      <w:rPr>
        <w:color w:val="3370ff"/>
      </w:rPr>
    </w:lvl>
  </w:abstractNum>
  <w:abstractNum w:abstractNumId="8835438">
    <w:lvl>
      <w:start w:val="2"/>
      <w:numFmt w:val="decimal"/>
      <w:suff w:val="tab"/>
      <w:lvlText w:val="%1."/>
      <w:rPr>
        <w:color w:val="3370ff"/>
      </w:rPr>
    </w:lvl>
  </w:abstractNum>
  <w:abstractNum w:abstractNumId="8835439">
    <w:lvl>
      <w:start w:val="3"/>
      <w:numFmt w:val="decimal"/>
      <w:suff w:val="tab"/>
      <w:lvlText w:val="%1."/>
      <w:rPr>
        <w:color w:val="3370ff"/>
      </w:rPr>
    </w:lvl>
  </w:abstractNum>
  <w:abstractNum w:abstractNumId="8835440">
    <w:lvl>
      <w:start w:val="4"/>
      <w:numFmt w:val="decimal"/>
      <w:suff w:val="tab"/>
      <w:lvlText w:val="%1."/>
      <w:rPr>
        <w:color w:val="3370ff"/>
      </w:rPr>
    </w:lvl>
  </w:abstractNum>
  <w:abstractNum w:abstractNumId="8835441">
    <w:lvl>
      <w:start w:val="1"/>
      <w:numFmt w:val="decimal"/>
      <w:suff w:val="tab"/>
      <w:lvlText w:val="%1."/>
      <w:rPr>
        <w:color w:val="3370ff"/>
      </w:rPr>
    </w:lvl>
  </w:abstractNum>
  <w:abstractNum w:abstractNumId="8835442">
    <w:lvl>
      <w:start w:val="2"/>
      <w:numFmt w:val="decimal"/>
      <w:suff w:val="tab"/>
      <w:lvlText w:val="%1."/>
      <w:rPr>
        <w:color w:val="3370ff"/>
      </w:rPr>
    </w:lvl>
  </w:abstractNum>
  <w:abstractNum w:abstractNumId="8835443">
    <w:lvl>
      <w:start w:val="3"/>
      <w:numFmt w:val="decimal"/>
      <w:suff w:val="tab"/>
      <w:lvlText w:val="%1."/>
      <w:rPr>
        <w:color w:val="3370ff"/>
      </w:rPr>
    </w:lvl>
  </w:abstractNum>
  <w:abstractNum w:abstractNumId="8835444">
    <w:lvl>
      <w:start w:val="4"/>
      <w:numFmt w:val="decimal"/>
      <w:suff w:val="tab"/>
      <w:lvlText w:val="%1."/>
      <w:rPr>
        <w:color w:val="3370ff"/>
      </w:rPr>
    </w:lvl>
  </w:abstractNum>
  <w:num w:numId="1">
    <w:abstractNumId w:val="8835365"/>
  </w:num>
  <w:num w:numId="2">
    <w:abstractNumId w:val="8835366"/>
  </w:num>
  <w:num w:numId="3">
    <w:abstractNumId w:val="8835367"/>
  </w:num>
  <w:num w:numId="4">
    <w:abstractNumId w:val="8835368"/>
  </w:num>
  <w:num w:numId="5">
    <w:abstractNumId w:val="8835369"/>
  </w:num>
  <w:num w:numId="6">
    <w:abstractNumId w:val="8835370"/>
  </w:num>
  <w:num w:numId="7">
    <w:abstractNumId w:val="8835371"/>
  </w:num>
  <w:num w:numId="8">
    <w:abstractNumId w:val="8835372"/>
  </w:num>
  <w:num w:numId="9">
    <w:abstractNumId w:val="8835373"/>
  </w:num>
  <w:num w:numId="10">
    <w:abstractNumId w:val="8835374"/>
  </w:num>
  <w:num w:numId="11">
    <w:abstractNumId w:val="8835375"/>
  </w:num>
  <w:num w:numId="12">
    <w:abstractNumId w:val="8835376"/>
  </w:num>
  <w:num w:numId="13">
    <w:abstractNumId w:val="8835377"/>
  </w:num>
  <w:num w:numId="14">
    <w:abstractNumId w:val="8835378"/>
  </w:num>
  <w:num w:numId="15">
    <w:abstractNumId w:val="8835379"/>
  </w:num>
  <w:num w:numId="16">
    <w:abstractNumId w:val="8835380"/>
  </w:num>
  <w:num w:numId="17">
    <w:abstractNumId w:val="8835381"/>
  </w:num>
  <w:num w:numId="18">
    <w:abstractNumId w:val="8835382"/>
  </w:num>
  <w:num w:numId="19">
    <w:abstractNumId w:val="8835383"/>
  </w:num>
  <w:num w:numId="20">
    <w:abstractNumId w:val="8835384"/>
  </w:num>
  <w:num w:numId="21">
    <w:abstractNumId w:val="8835385"/>
  </w:num>
  <w:num w:numId="22">
    <w:abstractNumId w:val="8835386"/>
  </w:num>
  <w:num w:numId="23">
    <w:abstractNumId w:val="8835387"/>
  </w:num>
  <w:num w:numId="24">
    <w:abstractNumId w:val="8835388"/>
  </w:num>
  <w:num w:numId="25">
    <w:abstractNumId w:val="8835389"/>
  </w:num>
  <w:num w:numId="26">
    <w:abstractNumId w:val="8835390"/>
  </w:num>
  <w:num w:numId="27">
    <w:abstractNumId w:val="8835391"/>
  </w:num>
  <w:num w:numId="28">
    <w:abstractNumId w:val="8835392"/>
  </w:num>
  <w:num w:numId="29">
    <w:abstractNumId w:val="8835393"/>
  </w:num>
  <w:num w:numId="30">
    <w:abstractNumId w:val="8835394"/>
  </w:num>
  <w:num w:numId="31">
    <w:abstractNumId w:val="8835395"/>
  </w:num>
  <w:num w:numId="32">
    <w:abstractNumId w:val="8835396"/>
  </w:num>
  <w:num w:numId="33">
    <w:abstractNumId w:val="8835397"/>
  </w:num>
  <w:num w:numId="34">
    <w:abstractNumId w:val="8835398"/>
  </w:num>
  <w:num w:numId="35">
    <w:abstractNumId w:val="8835399"/>
  </w:num>
  <w:num w:numId="36">
    <w:abstractNumId w:val="8835400"/>
  </w:num>
  <w:num w:numId="37">
    <w:abstractNumId w:val="8835401"/>
  </w:num>
  <w:num w:numId="38">
    <w:abstractNumId w:val="8835402"/>
  </w:num>
  <w:num w:numId="39">
    <w:abstractNumId w:val="8835403"/>
  </w:num>
  <w:num w:numId="40">
    <w:abstractNumId w:val="8835404"/>
  </w:num>
  <w:num w:numId="41">
    <w:abstractNumId w:val="8835405"/>
  </w:num>
  <w:num w:numId="42">
    <w:abstractNumId w:val="8835406"/>
  </w:num>
  <w:num w:numId="43">
    <w:abstractNumId w:val="8835407"/>
  </w:num>
  <w:num w:numId="44">
    <w:abstractNumId w:val="8835408"/>
  </w:num>
  <w:num w:numId="45">
    <w:abstractNumId w:val="8835409"/>
  </w:num>
  <w:num w:numId="46">
    <w:abstractNumId w:val="8835410"/>
  </w:num>
  <w:num w:numId="47">
    <w:abstractNumId w:val="8835411"/>
  </w:num>
  <w:num w:numId="48">
    <w:abstractNumId w:val="8835412"/>
  </w:num>
  <w:num w:numId="49">
    <w:abstractNumId w:val="8835413"/>
  </w:num>
  <w:num w:numId="50">
    <w:abstractNumId w:val="8835414"/>
  </w:num>
  <w:num w:numId="51">
    <w:abstractNumId w:val="8835415"/>
  </w:num>
  <w:num w:numId="52">
    <w:abstractNumId w:val="8835416"/>
  </w:num>
  <w:num w:numId="53">
    <w:abstractNumId w:val="8835417"/>
  </w:num>
  <w:num w:numId="54">
    <w:abstractNumId w:val="8835418"/>
  </w:num>
  <w:num w:numId="55">
    <w:abstractNumId w:val="8835419"/>
  </w:num>
  <w:num w:numId="56">
    <w:abstractNumId w:val="8835420"/>
  </w:num>
  <w:num w:numId="57">
    <w:abstractNumId w:val="8835421"/>
  </w:num>
  <w:num w:numId="58">
    <w:abstractNumId w:val="8835422"/>
  </w:num>
  <w:num w:numId="59">
    <w:abstractNumId w:val="8835423"/>
  </w:num>
  <w:num w:numId="60">
    <w:abstractNumId w:val="8835424"/>
  </w:num>
  <w:num w:numId="61">
    <w:abstractNumId w:val="8835425"/>
  </w:num>
  <w:num w:numId="62">
    <w:abstractNumId w:val="8835426"/>
  </w:num>
  <w:num w:numId="63">
    <w:abstractNumId w:val="8835427"/>
  </w:num>
  <w:num w:numId="64">
    <w:abstractNumId w:val="8835428"/>
  </w:num>
  <w:num w:numId="65">
    <w:abstractNumId w:val="8835429"/>
  </w:num>
  <w:num w:numId="66">
    <w:abstractNumId w:val="8835430"/>
  </w:num>
  <w:num w:numId="67">
    <w:abstractNumId w:val="8835431"/>
  </w:num>
  <w:num w:numId="68">
    <w:abstractNumId w:val="8835432"/>
  </w:num>
  <w:num w:numId="69">
    <w:abstractNumId w:val="8835433"/>
  </w:num>
  <w:num w:numId="70">
    <w:abstractNumId w:val="8835434"/>
  </w:num>
  <w:num w:numId="71">
    <w:abstractNumId w:val="8835435"/>
  </w:num>
  <w:num w:numId="72">
    <w:abstractNumId w:val="8835436"/>
  </w:num>
  <w:num w:numId="73">
    <w:abstractNumId w:val="8835437"/>
  </w:num>
  <w:num w:numId="74">
    <w:abstractNumId w:val="8835438"/>
  </w:num>
  <w:num w:numId="75">
    <w:abstractNumId w:val="8835439"/>
  </w:num>
  <w:num w:numId="76">
    <w:abstractNumId w:val="8835440"/>
  </w:num>
  <w:num w:numId="77">
    <w:abstractNumId w:val="8835441"/>
  </w:num>
  <w:num w:numId="78">
    <w:abstractNumId w:val="8835442"/>
  </w:num>
  <w:num w:numId="79">
    <w:abstractNumId w:val="8835443"/>
  </w:num>
  <w:num w:numId="80">
    <w:abstractNumId w:val="8835444"/>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2026-03-28T08:55:02Z</dcterms:created>
  <dc:creator>Apache POI</dc:creator>
</cp:coreProperties>
</file>