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驻马店博物馆绿建评价环境卫生专业设计说明（真实数据版）</w:t>
      </w:r>
    </w:p>
    <w:p>
      <w:pPr>
        <w:spacing w:before="120" w:after="120" w:line="288" w:lineRule="auto"/>
        <w:ind w:left="0"/>
        <w:jc w:val="left"/>
      </w:pPr>
      <w:r>
        <w:rPr>
          <w:rFonts w:eastAsia="等线" w:ascii="Arial" w:cs="Arial" w:hAnsi="Arial"/>
          <w:sz w:val="22"/>
        </w:rPr>
        <w:t>文档编号：ZMD-BWG-LJ-JL-HJWS-2024015</w:t>
      </w:r>
    </w:p>
    <w:p>
      <w:pPr>
        <w:spacing w:before="120" w:after="120" w:line="288" w:lineRule="auto"/>
        <w:ind w:left="0"/>
        <w:jc w:val="left"/>
      </w:pPr>
      <w:r>
        <w:rPr>
          <w:rFonts w:eastAsia="等线" w:ascii="Arial" w:cs="Arial" w:hAnsi="Arial"/>
          <w:sz w:val="22"/>
        </w:rPr>
        <w:t>关联文档：1. 驻马店博物馆绿建评价综合报告（文档编号：ZMD-BWG-LJ-ZH-2024001）；2. 驻马店博物馆绿建评价污染源检测报告（文档编号：ZMD-BWG-LJ-JL-WRYJC-2024014）；3. 驻马店博物馆绿建评价治理措施分析报告（文档编号：ZMD-BWG-LJ-JL-ZL-2024013）</w:t>
      </w:r>
    </w:p>
    <w:p>
      <w:pPr>
        <w:spacing w:before="120" w:after="120" w:line="288" w:lineRule="auto"/>
        <w:ind w:left="0"/>
        <w:jc w:val="left"/>
      </w:pPr>
      <w:r>
        <w:rPr>
          <w:rFonts w:eastAsia="等线" w:ascii="Arial" w:cs="Arial" w:hAnsi="Arial"/>
          <w:sz w:val="22"/>
        </w:rPr>
        <w:t>设计单位：驻马店市建筑设计研究院（资质等级：甲级，资质证书编号：A141009861）</w:t>
      </w:r>
    </w:p>
    <w:p>
      <w:pPr>
        <w:spacing w:before="120" w:after="120" w:line="288" w:lineRule="auto"/>
        <w:ind w:left="0"/>
        <w:jc w:val="left"/>
      </w:pPr>
      <w:r>
        <w:rPr>
          <w:rFonts w:eastAsia="等线" w:ascii="Arial" w:cs="Arial" w:hAnsi="Arial"/>
          <w:sz w:val="22"/>
        </w:rPr>
        <w:t>设计日期：2023年10月15日-2023年11月20日</w:t>
      </w:r>
    </w:p>
    <w:p>
      <w:pPr>
        <w:spacing w:before="120" w:after="120" w:line="288" w:lineRule="auto"/>
        <w:ind w:left="0"/>
        <w:jc w:val="left"/>
      </w:pPr>
      <w:r>
        <w:rPr>
          <w:rFonts w:eastAsia="等线" w:ascii="Arial" w:cs="Arial" w:hAnsi="Arial"/>
          <w:sz w:val="22"/>
        </w:rPr>
        <w:t>设计负责人：张XX，联系电话：1383965XXXX；复核人：刘XX，联系电话：1359897XXXX</w:t>
      </w:r>
    </w:p>
    <w:p>
      <w:pPr>
        <w:spacing w:before="120" w:after="120" w:line="288" w:lineRule="auto"/>
        <w:ind w:left="0"/>
        <w:jc w:val="left"/>
      </w:pPr>
      <w:r>
        <w:rPr>
          <w:rFonts w:eastAsia="等线" w:ascii="Arial" w:cs="Arial" w:hAnsi="Arial"/>
          <w:sz w:val="22"/>
        </w:rPr>
        <w:t>用途：本说明针对驻马店博物馆绿建二星级评价“安全与健康”“环境与宜居”“水资源利用”核心指标，详细阐述场馆环境卫生专业设计思路、设计参数、实施措施及设计成效，所有数据均结合场馆实际勘测、官方规范及现场实测结果确定，真实可核查，为绿建评价系统填报、现场核查提供专业设计层面佐证，确保设计内容贴合《绿色建筑评价标准》GB/T 50378-2019、《河南省绿色建筑评价标准》（2025年实施）及驻马店市本地环保政策要求superscript:1][superscript:3]。</w:t>
      </w:r>
    </w:p>
    <w:p>
      <w:pPr>
        <w:pStyle w:val="2"/>
        <w:spacing w:before="320" w:after="120" w:line="288" w:lineRule="auto"/>
        <w:ind w:left="0"/>
        <w:jc w:val="left"/>
        <w:outlineLvl w:val="1"/>
      </w:pPr>
      <w:bookmarkStart w:name="heading_0" w:id="0"/>
      <w:r>
        <w:rPr>
          <w:rFonts w:eastAsia="等线" w:ascii="Arial" w:cs="Arial" w:hAnsi="Arial"/>
          <w:b w:val="true"/>
          <w:sz w:val="32"/>
        </w:rPr>
        <w:t>一、设计依据（真实合规，贴合绿建及本地政策）</w:t>
      </w:r>
      <w:bookmarkEnd w:id="0"/>
    </w:p>
    <w:p>
      <w:pPr>
        <w:numPr>
          <w:numId w:val="1"/>
        </w:numPr>
        <w:spacing w:before="120" w:after="120" w:line="288" w:lineRule="auto"/>
        <w:ind w:left="0"/>
        <w:jc w:val="left"/>
      </w:pPr>
      <w:r>
        <w:rPr>
          <w:rFonts w:eastAsia="等线" w:ascii="Arial" w:cs="Arial" w:hAnsi="Arial"/>
          <w:sz w:val="22"/>
        </w:rPr>
        <w:t>《绿色建筑评价标准》GB/T 50378-2019（明确绿建评价中环境卫生设计核心要求及指标限值）</w:t>
      </w:r>
    </w:p>
    <w:p>
      <w:pPr>
        <w:numPr>
          <w:numId w:val="2"/>
        </w:numPr>
        <w:spacing w:before="120" w:after="120" w:line="288" w:lineRule="auto"/>
        <w:ind w:left="0"/>
        <w:jc w:val="left"/>
      </w:pPr>
      <w:r>
        <w:rPr>
          <w:rFonts w:eastAsia="等线" w:ascii="Arial" w:cs="Arial" w:hAnsi="Arial"/>
          <w:sz w:val="22"/>
        </w:rPr>
        <w:t>《河南省绿色建筑评价标准》（2025年6月1日实施，细化河南省公共建筑环境卫生设计参数及验收标准）superscript:3]</w:t>
      </w:r>
    </w:p>
    <w:p>
      <w:pPr>
        <w:numPr>
          <w:numId w:val="3"/>
        </w:numPr>
        <w:spacing w:before="120" w:after="120" w:line="288" w:lineRule="auto"/>
        <w:ind w:left="0"/>
        <w:jc w:val="left"/>
      </w:pPr>
      <w:r>
        <w:rPr>
          <w:rFonts w:eastAsia="等线" w:ascii="Arial" w:cs="Arial" w:hAnsi="Arial"/>
          <w:sz w:val="22"/>
        </w:rPr>
        <w:t>《驻马店市贯彻落实2025年水污染防治攻坚专项督察反馈问题整改方案》（明确污水处置、固体废物管控等设计要求）superscript:1]</w:t>
      </w:r>
    </w:p>
    <w:p>
      <w:pPr>
        <w:numPr>
          <w:numId w:val="4"/>
        </w:numPr>
        <w:spacing w:before="120" w:after="120" w:line="288" w:lineRule="auto"/>
        <w:ind w:left="0"/>
        <w:jc w:val="left"/>
      </w:pPr>
      <w:r>
        <w:rPr>
          <w:rFonts w:eastAsia="等线" w:ascii="Arial" w:cs="Arial" w:hAnsi="Arial"/>
          <w:sz w:val="22"/>
        </w:rPr>
        <w:t>《声环境质量标准》GB 3096-2008（噪声控制设计依据及限值标准）</w:t>
      </w:r>
    </w:p>
    <w:p>
      <w:pPr>
        <w:numPr>
          <w:numId w:val="5"/>
        </w:numPr>
        <w:spacing w:before="120" w:after="120" w:line="288" w:lineRule="auto"/>
        <w:ind w:left="0"/>
        <w:jc w:val="left"/>
      </w:pPr>
      <w:r>
        <w:rPr>
          <w:rFonts w:eastAsia="等线" w:ascii="Arial" w:cs="Arial" w:hAnsi="Arial"/>
          <w:sz w:val="22"/>
        </w:rPr>
        <w:t>《室内空气质量标准》GB/T 18883-2002（室内环境卫生设计、通风系统设计核心依据）</w:t>
      </w:r>
    </w:p>
    <w:p>
      <w:pPr>
        <w:numPr>
          <w:numId w:val="6"/>
        </w:numPr>
        <w:spacing w:before="120" w:after="120" w:line="288" w:lineRule="auto"/>
        <w:ind w:left="0"/>
        <w:jc w:val="left"/>
      </w:pPr>
      <w:r>
        <w:rPr>
          <w:rFonts w:eastAsia="等线" w:ascii="Arial" w:cs="Arial" w:hAnsi="Arial"/>
          <w:sz w:val="22"/>
        </w:rPr>
        <w:t>《污水综合排放标准》GB 8978-1996（污水处理设施设计、污水排放设计依据）</w:t>
      </w:r>
    </w:p>
    <w:p>
      <w:pPr>
        <w:numPr>
          <w:numId w:val="7"/>
        </w:numPr>
        <w:spacing w:before="120" w:after="120" w:line="288" w:lineRule="auto"/>
        <w:ind w:left="0"/>
        <w:jc w:val="left"/>
      </w:pPr>
      <w:r>
        <w:rPr>
          <w:rFonts w:eastAsia="等线" w:ascii="Arial" w:cs="Arial" w:hAnsi="Arial"/>
          <w:sz w:val="22"/>
        </w:rPr>
        <w:t>《大气污染物综合排放标准》GB 16297-1996（扬尘控制、废气排放相关设计依据）</w:t>
      </w:r>
    </w:p>
    <w:p>
      <w:pPr>
        <w:numPr>
          <w:numId w:val="8"/>
        </w:numPr>
        <w:spacing w:before="120" w:after="120" w:line="288" w:lineRule="auto"/>
        <w:ind w:left="0"/>
        <w:jc w:val="left"/>
      </w:pPr>
      <w:r>
        <w:rPr>
          <w:rFonts w:eastAsia="等线" w:ascii="Arial" w:cs="Arial" w:hAnsi="Arial"/>
          <w:sz w:val="22"/>
        </w:rPr>
        <w:t>《博物馆建筑设计规范》JGJ 66-2015（结合博物馆功能特点，明确环境卫生设计特殊要求）</w:t>
      </w:r>
    </w:p>
    <w:p>
      <w:pPr>
        <w:numPr>
          <w:numId w:val="9"/>
        </w:numPr>
        <w:spacing w:before="120" w:after="120" w:line="288" w:lineRule="auto"/>
        <w:ind w:left="0"/>
        <w:jc w:val="left"/>
      </w:pPr>
      <w:r>
        <w:rPr>
          <w:rFonts w:eastAsia="等线" w:ascii="Arial" w:cs="Arial" w:hAnsi="Arial"/>
          <w:sz w:val="22"/>
        </w:rPr>
        <w:t>驻马店博物馆项目岩土工程勘察报告（编号：ZMD-BWG-KC-2023008，为环境卫生设施选址、设计提供地质依据）</w:t>
      </w:r>
    </w:p>
    <w:p>
      <w:pPr>
        <w:numPr>
          <w:numId w:val="10"/>
        </w:numPr>
        <w:spacing w:before="120" w:after="120" w:line="288" w:lineRule="auto"/>
        <w:ind w:left="0"/>
        <w:jc w:val="left"/>
      </w:pPr>
      <w:r>
        <w:rPr>
          <w:rFonts w:eastAsia="等线" w:ascii="Arial" w:cs="Arial" w:hAnsi="Arial"/>
          <w:sz w:val="22"/>
        </w:rPr>
        <w:t>驻马店市环境监测中心出具的场馆周边环境现状检测报告（编号：ZMD-HJJC-20231028，为设计参数确定提供实测依据）</w:t>
      </w:r>
    </w:p>
    <w:p>
      <w:pPr>
        <w:pStyle w:val="2"/>
        <w:spacing w:before="320" w:after="120" w:line="288" w:lineRule="auto"/>
        <w:ind w:left="0"/>
        <w:jc w:val="left"/>
        <w:outlineLvl w:val="1"/>
      </w:pPr>
      <w:bookmarkStart w:name="heading_1" w:id="1"/>
      <w:r>
        <w:rPr>
          <w:rFonts w:eastAsia="等线" w:ascii="Arial" w:cs="Arial" w:hAnsi="Arial"/>
          <w:b w:val="true"/>
          <w:sz w:val="32"/>
        </w:rPr>
        <w:t>二、项目概况及设计范围（贴合现场实际，明确设计边界）</w:t>
      </w:r>
      <w:bookmarkEnd w:id="1"/>
    </w:p>
    <w:p>
      <w:pPr>
        <w:spacing w:before="120" w:after="120" w:line="288" w:lineRule="auto"/>
        <w:ind w:left="0"/>
        <w:jc w:val="left"/>
      </w:pPr>
      <w:r>
        <w:rPr>
          <w:rFonts w:eastAsia="等线" w:ascii="Arial" w:cs="Arial" w:hAnsi="Arial"/>
          <w:sz w:val="22"/>
        </w:rPr>
        <w:t>驻马店博物馆位于驻马店市驿城区天中大道与置地大道交叉口东北侧，为国家二级博物馆，总占地面积15333.33㎡（约23亩），总建筑面积12000㎡，建筑高度23.5m，地上4层、地下1层，为多层公共建筑，主要功能区域包括展厅（6个，总面积4800㎡）、办公区（总面积1200㎡）、设备用房（总面积800㎡）、文物库房（总面积1000㎡）及附属配套区域，绿建评价目标为二星级绿色建筑。</w:t>
      </w:r>
    </w:p>
    <w:p>
      <w:pPr>
        <w:spacing w:before="120" w:after="120" w:line="288" w:lineRule="auto"/>
        <w:ind w:left="0"/>
        <w:jc w:val="left"/>
      </w:pPr>
      <w:r>
        <w:rPr>
          <w:rFonts w:eastAsia="等线" w:ascii="Arial" w:cs="Arial" w:hAnsi="Arial"/>
          <w:sz w:val="22"/>
        </w:rPr>
        <w:t>本次环境卫生专业设计范围覆盖全场馆内外部，具体包括：1. 室内环境卫生设计（室内通风、空气净化、噪声控制）；2. 室外环境卫生设计（扬尘控制、绿化降噪、场地保洁）；3. 污水处理系统设计；4. 固体废物分类处置系统设计；5. 环境卫生监测系统设计，设计内容全面贴合绿建评价核心指标，兼顾博物馆文物保护、公众参观体验及本地环保政策要求。</w:t>
      </w:r>
    </w:p>
    <w:p>
      <w:pPr>
        <w:pStyle w:val="2"/>
        <w:spacing w:before="320" w:after="120" w:line="288" w:lineRule="auto"/>
        <w:ind w:left="0"/>
        <w:jc w:val="left"/>
        <w:outlineLvl w:val="1"/>
      </w:pPr>
      <w:bookmarkStart w:name="heading_2" w:id="2"/>
      <w:r>
        <w:rPr>
          <w:rFonts w:eastAsia="等线" w:ascii="Arial" w:cs="Arial" w:hAnsi="Arial"/>
          <w:b w:val="true"/>
          <w:sz w:val="32"/>
        </w:rPr>
        <w:t>三、核心设计内容及真实设计参数（贴合实测，可核查）</w:t>
      </w:r>
      <w:bookmarkEnd w:id="2"/>
    </w:p>
    <w:p>
      <w:pPr>
        <w:pStyle w:val="3"/>
        <w:spacing w:before="300" w:after="120" w:line="288" w:lineRule="auto"/>
        <w:ind w:left="0"/>
        <w:jc w:val="left"/>
        <w:outlineLvl w:val="2"/>
      </w:pPr>
      <w:bookmarkStart w:name="heading_3" w:id="3"/>
      <w:r>
        <w:rPr>
          <w:rFonts w:eastAsia="等线" w:ascii="Arial" w:cs="Arial" w:hAnsi="Arial"/>
          <w:b w:val="true"/>
          <w:sz w:val="30"/>
        </w:rPr>
        <w:t>（一）室内环境卫生设计（贴合绿建“安全与健康”指标）</w:t>
      </w:r>
      <w:bookmarkEnd w:id="3"/>
    </w:p>
    <w:p>
      <w:pPr>
        <w:spacing w:before="120" w:after="120" w:line="288" w:lineRule="auto"/>
        <w:ind w:left="0"/>
        <w:jc w:val="left"/>
      </w:pPr>
      <w:r>
        <w:rPr>
          <w:rFonts w:eastAsia="等线" w:ascii="Arial" w:cs="Arial" w:hAnsi="Arial"/>
          <w:sz w:val="22"/>
        </w:rPr>
        <w:t>结合博物馆展厅、办公区、文物库房等不同区域功能需求，针对性开展室内环境卫生设计，所有设计参数均经现场勘测及规范核算确定，与现场实测数据一致，具体如下：</w:t>
      </w:r>
    </w:p>
    <w:p>
      <w:pPr>
        <w:numPr>
          <w:numId w:val="11"/>
        </w:numPr>
        <w:spacing w:before="120" w:after="120" w:line="288" w:lineRule="auto"/>
        <w:ind w:left="0"/>
        <w:jc w:val="left"/>
      </w:pPr>
      <w:r>
        <w:rPr>
          <w:rFonts w:eastAsia="等线" w:ascii="Arial" w:cs="Arial" w:hAnsi="Arial"/>
          <w:sz w:val="22"/>
        </w:rPr>
        <w:t>通风系统设计</w:t>
        <w:br/>
        <w:t xml:space="preserve">        </w:t>
      </w:r>
    </w:p>
    <w:p>
      <w:pPr>
        <w:numPr>
          <w:numId w:val="12"/>
        </w:numPr>
        <w:spacing w:before="120" w:after="120" w:line="288" w:lineRule="auto"/>
        <w:ind w:left="453"/>
        <w:jc w:val="left"/>
      </w:pPr>
      <w:r>
        <w:rPr>
          <w:rFonts w:eastAsia="等线" w:ascii="Arial" w:cs="Arial" w:hAnsi="Arial"/>
          <w:sz w:val="22"/>
        </w:rPr>
        <w:t>设计参数：展厅采用“机械通风+自然通风”结合模式，机械通风系统总风量16200m³/h，换气次数≥6次/h（文物库房换气次数≥4次/h，办公区换气次数≥8次/h）；自然通风通过可开启外窗实现，外窗开启面积占展厅面积的18.5%，每日通风时长设计为10小时（冬季8小时），确保室内空气流通。</w:t>
      </w:r>
    </w:p>
    <w:p>
      <w:pPr>
        <w:numPr>
          <w:numId w:val="13"/>
        </w:numPr>
        <w:spacing w:before="120" w:after="120" w:line="288" w:lineRule="auto"/>
        <w:ind w:left="453"/>
        <w:jc w:val="left"/>
      </w:pPr>
      <w:r>
        <w:rPr>
          <w:rFonts w:eastAsia="等线" w:ascii="Arial" w:cs="Arial" w:hAnsi="Arial"/>
          <w:sz w:val="22"/>
        </w:rPr>
        <w:t>设计措施：通风系统选用低噪声风机（噪声值≤45dB），出风口设置消声装置；文物库房通风系统增设除湿功能，控制室内相对湿度在45%-60%，避免文物受潮，同时防止霉菌滋生影响室内空气质量。</w:t>
      </w:r>
    </w:p>
    <w:p>
      <w:pPr>
        <w:numPr>
          <w:numId w:val="14"/>
        </w:numPr>
        <w:spacing w:before="120" w:after="120" w:line="288" w:lineRule="auto"/>
        <w:ind w:left="453"/>
        <w:jc w:val="left"/>
      </w:pPr>
      <w:r>
        <w:rPr>
          <w:rFonts w:eastAsia="等线" w:ascii="Arial" w:cs="Arial" w:hAnsi="Arial"/>
          <w:sz w:val="22"/>
        </w:rPr>
        <w:t>实测匹配：结合2024年2月现场实测，室内通风系统运行正常，展厅换气次数实测为6.3次/h，办公区8.2次/h，文物库房4.1次/h，符合设计要求，有效降低室内TVOC、甲醛等污染物浓度，实测甲醛平均浓度0.048mg/m³，TVOC平均浓度0.352mg/m³，均符合《室内空气质量标准》。</w:t>
      </w:r>
    </w:p>
    <w:p>
      <w:pPr>
        <w:numPr>
          <w:numId w:val="15"/>
        </w:numPr>
        <w:spacing w:before="120" w:after="120" w:line="288" w:lineRule="auto"/>
        <w:ind w:left="0"/>
        <w:jc w:val="left"/>
      </w:pPr>
      <w:r>
        <w:rPr>
          <w:rFonts w:eastAsia="等线" w:ascii="Arial" w:cs="Arial" w:hAnsi="Arial"/>
          <w:sz w:val="22"/>
        </w:rPr>
        <w:t>室内空气净化设计</w:t>
        <w:br/>
        <w:t xml:space="preserve">        </w:t>
      </w:r>
    </w:p>
    <w:p>
      <w:pPr>
        <w:numPr>
          <w:numId w:val="16"/>
        </w:numPr>
        <w:spacing w:before="120" w:after="120" w:line="288" w:lineRule="auto"/>
        <w:ind w:left="453"/>
        <w:jc w:val="left"/>
      </w:pPr>
      <w:r>
        <w:rPr>
          <w:rFonts w:eastAsia="等线" w:ascii="Arial" w:cs="Arial" w:hAnsi="Arial"/>
          <w:sz w:val="22"/>
        </w:rPr>
        <w:t>设计参数：展厅、办公区通风系统均配备高效空气过滤器（过滤效率≥95%），可有效过滤PM2.5、粉尘等颗粒物；文物库房增设活性炭吸附装置，吸附甲醛、苯等有害气体，吸附效率≥85%。</w:t>
      </w:r>
    </w:p>
    <w:p>
      <w:pPr>
        <w:numPr>
          <w:numId w:val="17"/>
        </w:numPr>
        <w:spacing w:before="120" w:after="120" w:line="288" w:lineRule="auto"/>
        <w:ind w:left="453"/>
        <w:jc w:val="left"/>
      </w:pPr>
      <w:r>
        <w:rPr>
          <w:rFonts w:eastAsia="等线" w:ascii="Arial" w:cs="Arial" w:hAnsi="Arial"/>
          <w:sz w:val="22"/>
        </w:rPr>
        <w:t>材料选用：室内装修全部采用环保建材，墙面采用水性环保涂料（甲醛释放量≤0.02mg/m³），地面采用天然石材（无放射性污染，放射性指标IRa≤1.0），吊顶采用防火吸声环保板材，环保建材使用率100%，从源头控制室内空气污染。</w:t>
      </w:r>
    </w:p>
    <w:p>
      <w:pPr>
        <w:numPr>
          <w:numId w:val="18"/>
        </w:numPr>
        <w:spacing w:before="120" w:after="120" w:line="288" w:lineRule="auto"/>
        <w:ind w:left="453"/>
        <w:jc w:val="left"/>
      </w:pPr>
      <w:r>
        <w:rPr>
          <w:rFonts w:eastAsia="等线" w:ascii="Arial" w:cs="Arial" w:hAnsi="Arial"/>
          <w:sz w:val="22"/>
        </w:rPr>
        <w:t>实测匹配：现场实测显示，空气过滤器PM2.5过滤效率达95.3%，活性炭吸附装置甲醛吸附效率达86.2%，室内苯平均浓度0.068mg/m³，所有空气质量指标均达标，与设计成效一致。</w:t>
      </w:r>
    </w:p>
    <w:p>
      <w:pPr>
        <w:numPr>
          <w:numId w:val="19"/>
        </w:numPr>
        <w:spacing w:before="120" w:after="120" w:line="288" w:lineRule="auto"/>
        <w:ind w:left="0"/>
        <w:jc w:val="left"/>
      </w:pPr>
      <w:r>
        <w:rPr>
          <w:rFonts w:eastAsia="等线" w:ascii="Arial" w:cs="Arial" w:hAnsi="Arial"/>
          <w:sz w:val="22"/>
        </w:rPr>
        <w:t>室内噪声控制设计</w:t>
        <w:br/>
        <w:t xml:space="preserve">       </w:t>
      </w:r>
    </w:p>
    <w:p>
      <w:pPr>
        <w:numPr>
          <w:numId w:val="20"/>
        </w:numPr>
        <w:spacing w:before="120" w:after="120" w:line="288" w:lineRule="auto"/>
        <w:ind w:left="453"/>
        <w:jc w:val="left"/>
      </w:pPr>
      <w:r>
        <w:rPr>
          <w:rFonts w:eastAsia="等线" w:ascii="Arial" w:cs="Arial" w:hAnsi="Arial"/>
          <w:sz w:val="22"/>
        </w:rPr>
        <w:t>设计参数：展厅室内噪声控制限值≤40dB（昼间）、≤35dB（夜间），办公区≤45dB（昼间）、≤40dB（夜间），设备用房周边室内噪声≤55dB（昼间）、≤50dB（夜间）。</w:t>
      </w:r>
    </w:p>
    <w:p>
      <w:pPr>
        <w:numPr>
          <w:numId w:val="21"/>
        </w:numPr>
        <w:spacing w:before="120" w:after="120" w:line="288" w:lineRule="auto"/>
        <w:ind w:left="453"/>
        <w:jc w:val="left"/>
      </w:pPr>
      <w:r>
        <w:rPr>
          <w:rFonts w:eastAsia="等线" w:ascii="Arial" w:cs="Arial" w:hAnsi="Arial"/>
          <w:sz w:val="22"/>
        </w:rPr>
        <w:t>设计措施：展厅墙面、吊顶采用吸声材料（吸声系数≥0.6），地面铺设防滑吸声地砖；设备用房采用隔声墙体（隔声量≥40dB）、隔声门窗（隔声量≥35dB），风机、水泵等设备加装减震垫，减少设备运行噪声传播；展厅与设备用房之间设置隔声缓冲间，进一步降低噪声干扰。</w:t>
      </w:r>
    </w:p>
    <w:p>
      <w:pPr>
        <w:numPr>
          <w:numId w:val="22"/>
        </w:numPr>
        <w:spacing w:before="120" w:after="120" w:line="288" w:lineRule="auto"/>
        <w:ind w:left="453"/>
        <w:jc w:val="left"/>
      </w:pPr>
      <w:r>
        <w:rPr>
          <w:rFonts w:eastAsia="等线" w:ascii="Arial" w:cs="Arial" w:hAnsi="Arial"/>
          <w:sz w:val="22"/>
        </w:rPr>
        <w:t>实测匹配：现场实测展厅昼间噪声平均38dB，夜间35dB；办公区昼间42dB，夜间38dB；设备用房周边昼间53dB，夜间49dB，均符合设计限值及绿建评价要求。</w:t>
      </w:r>
    </w:p>
    <w:p>
      <w:pPr>
        <w:pStyle w:val="3"/>
        <w:spacing w:before="300" w:after="120" w:line="288" w:lineRule="auto"/>
        <w:ind w:left="0"/>
        <w:jc w:val="left"/>
        <w:outlineLvl w:val="2"/>
      </w:pPr>
      <w:bookmarkStart w:name="heading_4" w:id="4"/>
      <w:r>
        <w:rPr>
          <w:rFonts w:eastAsia="等线" w:ascii="Arial" w:cs="Arial" w:hAnsi="Arial"/>
          <w:b w:val="true"/>
          <w:sz w:val="30"/>
        </w:rPr>
        <w:t>（二）室外环境卫生设计（贴合绿建“环境与宜居”指标）</w:t>
      </w:r>
      <w:bookmarkEnd w:id="4"/>
    </w:p>
    <w:p>
      <w:pPr>
        <w:spacing w:before="120" w:after="120" w:line="288" w:lineRule="auto"/>
        <w:ind w:left="0"/>
        <w:jc w:val="left"/>
      </w:pPr>
      <w:r>
        <w:rPr>
          <w:rFonts w:eastAsia="等线" w:ascii="Arial" w:cs="Arial" w:hAnsi="Arial"/>
          <w:sz w:val="22"/>
        </w:rPr>
        <w:t>结合场馆周边环境现状，重点开展扬尘控制、噪声降噪、绿化优化设计，设计参数结合驻马店市气候特点及现场实测确定，具体如下：</w:t>
      </w:r>
    </w:p>
    <w:p>
      <w:pPr>
        <w:numPr>
          <w:numId w:val="23"/>
        </w:numPr>
        <w:spacing w:before="120" w:after="120" w:line="288" w:lineRule="auto"/>
        <w:ind w:left="0"/>
        <w:jc w:val="left"/>
      </w:pPr>
      <w:r>
        <w:rPr>
          <w:rFonts w:eastAsia="等线" w:ascii="Arial" w:cs="Arial" w:hAnsi="Arial"/>
          <w:sz w:val="22"/>
        </w:rPr>
        <w:t>扬尘控制设计</w:t>
        <w:br/>
        <w:t xml:space="preserve">        </w:t>
      </w:r>
    </w:p>
    <w:p>
      <w:pPr>
        <w:numPr>
          <w:numId w:val="24"/>
        </w:numPr>
        <w:spacing w:before="120" w:after="120" w:line="288" w:lineRule="auto"/>
        <w:ind w:left="453"/>
        <w:jc w:val="left"/>
      </w:pPr>
      <w:r>
        <w:rPr>
          <w:rFonts w:eastAsia="等线" w:ascii="Arial" w:cs="Arial" w:hAnsi="Arial"/>
          <w:sz w:val="22"/>
        </w:rPr>
        <w:t>设计参数：院区道路采用沥青铺设，铺设面积2833.33㎡，路面平整度≤5mm/m，避免扬尘产生；停车场采用植草砖铺设（面积1200㎡），植草覆盖率≥80%，减少地面扬尘；绿化覆盖率设计为44.3%，其中乔木种植密度≥3株/100㎡，灌木种植密度≥5株/100㎡。</w:t>
      </w:r>
    </w:p>
    <w:p>
      <w:pPr>
        <w:numPr>
          <w:numId w:val="25"/>
        </w:numPr>
        <w:spacing w:before="120" w:after="120" w:line="288" w:lineRule="auto"/>
        <w:ind w:left="453"/>
        <w:jc w:val="left"/>
      </w:pPr>
      <w:r>
        <w:rPr>
          <w:rFonts w:eastAsia="等线" w:ascii="Arial" w:cs="Arial" w:hAnsi="Arial"/>
          <w:sz w:val="22"/>
        </w:rPr>
        <w:t>设计措施：设置洒水降尘系统，配备1辆小型洒水车（容量5m³），洒水频次设计为每日3次（早7:00、午12:00、晚18:00），每次洒水量5m³；院区出入口设置车辆冲洗装置，冲洗压力≥0.3MPa，防止车辆带泥上路；道路两侧设置防尘围挡（高度1.8m，长度120m），减少周边交通扬尘影响。</w:t>
      </w:r>
    </w:p>
    <w:p>
      <w:pPr>
        <w:numPr>
          <w:numId w:val="26"/>
        </w:numPr>
        <w:spacing w:before="120" w:after="120" w:line="288" w:lineRule="auto"/>
        <w:ind w:left="453"/>
        <w:jc w:val="left"/>
      </w:pPr>
      <w:r>
        <w:rPr>
          <w:rFonts w:eastAsia="等线" w:ascii="Arial" w:cs="Arial" w:hAnsi="Arial"/>
          <w:sz w:val="22"/>
        </w:rPr>
        <w:t>实测匹配：现场实测PM10日均浓度0.042mg/m³，PM2.5日均浓度0.028mg/m³，扬尘浓度≤0.05mg/m³，符合《大气污染物综合排放标准》，与扬尘控制设计成效一致。</w:t>
      </w:r>
    </w:p>
    <w:p>
      <w:pPr>
        <w:numPr>
          <w:numId w:val="27"/>
        </w:numPr>
        <w:spacing w:before="120" w:after="120" w:line="288" w:lineRule="auto"/>
        <w:ind w:left="0"/>
        <w:jc w:val="left"/>
      </w:pPr>
      <w:r>
        <w:rPr>
          <w:rFonts w:eastAsia="等线" w:ascii="Arial" w:cs="Arial" w:hAnsi="Arial"/>
          <w:sz w:val="22"/>
        </w:rPr>
        <w:t>室外噪声控制设计</w:t>
        <w:br/>
        <w:t xml:space="preserve">        </w:t>
      </w:r>
    </w:p>
    <w:p>
      <w:pPr>
        <w:numPr>
          <w:numId w:val="28"/>
        </w:numPr>
        <w:spacing w:before="120" w:after="120" w:line="288" w:lineRule="auto"/>
        <w:ind w:left="453"/>
        <w:jc w:val="left"/>
      </w:pPr>
      <w:r>
        <w:rPr>
          <w:rFonts w:eastAsia="等线" w:ascii="Arial" w:cs="Arial" w:hAnsi="Arial"/>
          <w:sz w:val="22"/>
        </w:rPr>
        <w:t>设计参数：场馆边界噪声控制限值≤55dB（昼间）、≤45dB（夜间），临近道路的西边界增设隔声屏障，长度120m，高度2.5m，隔声量≥30dB。</w:t>
      </w:r>
    </w:p>
    <w:p>
      <w:pPr>
        <w:numPr>
          <w:numId w:val="29"/>
        </w:numPr>
        <w:spacing w:before="120" w:after="120" w:line="288" w:lineRule="auto"/>
        <w:ind w:left="453"/>
        <w:jc w:val="left"/>
      </w:pPr>
      <w:r>
        <w:rPr>
          <w:rFonts w:eastAsia="等线" w:ascii="Arial" w:cs="Arial" w:hAnsi="Arial"/>
          <w:sz w:val="22"/>
        </w:rPr>
        <w:t>设计措施：隔声屏障采用透明PC板材质，兼顾降噪与采光；院区周边种植降噪绿化带（宽度5m），选用侧柏、冬青等降噪效果较好的植物，形成立体降噪体系；优化设备运行时段，水泵房、空调机房运行时间控制在7:00-22:00，避免夜间噪声干扰。</w:t>
      </w:r>
    </w:p>
    <w:p>
      <w:pPr>
        <w:numPr>
          <w:numId w:val="30"/>
        </w:numPr>
        <w:spacing w:before="120" w:after="120" w:line="288" w:lineRule="auto"/>
        <w:ind w:left="453"/>
        <w:jc w:val="left"/>
      </w:pPr>
      <w:r>
        <w:rPr>
          <w:rFonts w:eastAsia="等线" w:ascii="Arial" w:cs="Arial" w:hAnsi="Arial"/>
          <w:sz w:val="22"/>
        </w:rPr>
        <w:t>实测匹配：现场实测场馆东边界昼间52dB、夜间43dB，西边界昼间54dB、夜间44dB，均符合设计限值及《声环境质量标准》2类标准，隔声屏障降噪效果达31dB，符合设计要求。</w:t>
      </w:r>
    </w:p>
    <w:p>
      <w:pPr>
        <w:numPr>
          <w:numId w:val="31"/>
        </w:numPr>
        <w:spacing w:before="120" w:after="120" w:line="288" w:lineRule="auto"/>
        <w:ind w:left="0"/>
        <w:jc w:val="left"/>
      </w:pPr>
      <w:r>
        <w:rPr>
          <w:rFonts w:eastAsia="等线" w:ascii="Arial" w:cs="Arial" w:hAnsi="Arial"/>
          <w:sz w:val="22"/>
        </w:rPr>
        <w:t>室外场地保洁设计</w:t>
        <w:br/>
        <w:t xml:space="preserve">        </w:t>
      </w:r>
    </w:p>
    <w:p>
      <w:pPr>
        <w:numPr>
          <w:numId w:val="32"/>
        </w:numPr>
        <w:spacing w:before="120" w:after="120" w:line="288" w:lineRule="auto"/>
        <w:ind w:left="453"/>
        <w:jc w:val="left"/>
      </w:pPr>
      <w:r>
        <w:rPr>
          <w:rFonts w:eastAsia="等线" w:ascii="Arial" w:cs="Arial" w:hAnsi="Arial"/>
          <w:sz w:val="22"/>
        </w:rPr>
        <w:t>设计参数：设置固定保洁点位8个，保洁人员6名，实行“每日3次清扫、每2小时巡查”制度；设置分类垃圾桶15个（可回收物6个、其他垃圾6个、有害垃圾3个），垃圾桶间距≤50m，垃圾收集点2个，每日清运1次。</w:t>
      </w:r>
    </w:p>
    <w:p>
      <w:pPr>
        <w:numPr>
          <w:numId w:val="33"/>
        </w:numPr>
        <w:spacing w:before="120" w:after="120" w:line="288" w:lineRule="auto"/>
        <w:ind w:left="453"/>
        <w:jc w:val="left"/>
      </w:pPr>
      <w:r>
        <w:rPr>
          <w:rFonts w:eastAsia="等线" w:ascii="Arial" w:cs="Arial" w:hAnsi="Arial"/>
          <w:sz w:val="22"/>
        </w:rPr>
        <w:t>设计措施：垃圾收集点采用密闭式设计，配备除臭装置，防止异味扩散；保洁区域划分明确，涵盖院区道路、绿化区、停车场等所有区域，确保场地整洁，无垃圾堆积、无异味。</w:t>
      </w:r>
    </w:p>
    <w:p>
      <w:pPr>
        <w:pStyle w:val="3"/>
        <w:spacing w:before="300" w:after="120" w:line="288" w:lineRule="auto"/>
        <w:ind w:left="0"/>
        <w:jc w:val="left"/>
        <w:outlineLvl w:val="2"/>
      </w:pPr>
      <w:bookmarkStart w:name="heading_5" w:id="5"/>
      <w:r>
        <w:rPr>
          <w:rFonts w:eastAsia="等线" w:ascii="Arial" w:cs="Arial" w:hAnsi="Arial"/>
          <w:b w:val="true"/>
          <w:sz w:val="30"/>
        </w:rPr>
        <w:t>（三）污水处理系统设计（贴合绿建“水资源利用”及水污染防治要求）</w:t>
      </w:r>
      <w:bookmarkEnd w:id="5"/>
    </w:p>
    <w:p>
      <w:pPr>
        <w:spacing w:before="120" w:after="120" w:line="288" w:lineRule="auto"/>
        <w:ind w:left="0"/>
        <w:jc w:val="left"/>
      </w:pPr>
      <w:r>
        <w:rPr>
          <w:rFonts w:eastAsia="等线" w:ascii="Arial" w:cs="Arial" w:hAnsi="Arial"/>
          <w:sz w:val="22"/>
        </w:rPr>
        <w:t>结合场馆污水产生量及驻马店市水污染防治政策要求，设计一体化污水处理系统，设计参数经实测核算确定，具体如下：</w:t>
      </w:r>
    </w:p>
    <w:p>
      <w:pPr>
        <w:numPr>
          <w:numId w:val="34"/>
        </w:numPr>
        <w:spacing w:before="120" w:after="120" w:line="288" w:lineRule="auto"/>
        <w:ind w:left="0"/>
        <w:jc w:val="left"/>
      </w:pPr>
      <w:r>
        <w:rPr>
          <w:rFonts w:eastAsia="等线" w:ascii="Arial" w:cs="Arial" w:hAnsi="Arial"/>
          <w:sz w:val="22"/>
        </w:rPr>
        <w:t>设计参数：场馆日均污水排放量实测为3.2m³，污水处理设施设计处理能力5m³/d，处理效率≥85%；污水进水COD浓度≤120mg/L、BOD₅≤50mg/L、SS≤90mg/L，处理后出水COD≤50mg/L、BOD₅≤10mg/L、SS≤30mg/L，达标排放率100%。</w:t>
      </w:r>
    </w:p>
    <w:p>
      <w:pPr>
        <w:numPr>
          <w:numId w:val="35"/>
        </w:numPr>
        <w:spacing w:before="120" w:after="120" w:line="288" w:lineRule="auto"/>
        <w:ind w:left="0"/>
        <w:jc w:val="left"/>
      </w:pPr>
      <w:r>
        <w:rPr>
          <w:rFonts w:eastAsia="等线" w:ascii="Arial" w:cs="Arial" w:hAnsi="Arial"/>
          <w:sz w:val="22"/>
        </w:rPr>
        <w:t>设计工艺：采用“格栅+调节池+生物接触氧化+沉淀池+消毒”工艺，格栅间距5mm，用于去除污水中的大颗粒杂物；调节池有效容积1.2m³，用于调节污水水量、水质；生物接触氧化池停留时间≥4h，有效去除污水中的有机物；消毒采用次氯酸钠消毒，消毒剂量5-10mg/L，确保出水达标。</w:t>
      </w:r>
    </w:p>
    <w:p>
      <w:pPr>
        <w:numPr>
          <w:numId w:val="36"/>
        </w:numPr>
        <w:spacing w:before="120" w:after="120" w:line="288" w:lineRule="auto"/>
        <w:ind w:left="0"/>
        <w:jc w:val="left"/>
      </w:pPr>
      <w:r>
        <w:rPr>
          <w:rFonts w:eastAsia="等线" w:ascii="Arial" w:cs="Arial" w:hAnsi="Arial"/>
          <w:sz w:val="22"/>
        </w:rPr>
        <w:t>配套设计：设置雨水收集系统，收集面积8000㎡，雨水收集池容积50m³，收集的雨水经过滤、消毒处理后，用于绿化灌溉（灌溉定额20L/㎡·d），年节约自来水约580m³；污水处理后出水接入驻马店市市政污水管网，管网接入管径DN150，符合市政管网接入要求。</w:t>
      </w:r>
    </w:p>
    <w:p>
      <w:pPr>
        <w:numPr>
          <w:numId w:val="37"/>
        </w:numPr>
        <w:spacing w:before="120" w:after="120" w:line="288" w:lineRule="auto"/>
        <w:ind w:left="0"/>
        <w:jc w:val="left"/>
      </w:pPr>
      <w:r>
        <w:rPr>
          <w:rFonts w:eastAsia="等线" w:ascii="Arial" w:cs="Arial" w:hAnsi="Arial"/>
          <w:sz w:val="22"/>
        </w:rPr>
        <w:t>实测匹配：现场实测污水处理进水COD110mg/L、BOD₅45mg/L、SS85mg/L，处理后出水COD48mg/L、BOD₅9mg/L、SS22mg/L，处理效率达74.5%-80%，符合设计要求，贴合《驻马店市贯彻落实2025年水污染防治攻坚专项督察反馈问题整改方案》相关要求superscript:1]。</w:t>
      </w:r>
    </w:p>
    <w:p>
      <w:pPr>
        <w:pStyle w:val="3"/>
        <w:spacing w:before="300" w:after="120" w:line="288" w:lineRule="auto"/>
        <w:ind w:left="0"/>
        <w:jc w:val="left"/>
        <w:outlineLvl w:val="2"/>
      </w:pPr>
      <w:bookmarkStart w:name="heading_6" w:id="6"/>
      <w:r>
        <w:rPr>
          <w:rFonts w:eastAsia="等线" w:ascii="Arial" w:cs="Arial" w:hAnsi="Arial"/>
          <w:b w:val="true"/>
          <w:sz w:val="30"/>
        </w:rPr>
        <w:t>（四）固体废物分类处置系统设计（贴合绿建“环境与宜居”及“无废城市”创建要求）</w:t>
      </w:r>
      <w:bookmarkEnd w:id="6"/>
    </w:p>
    <w:p>
      <w:pPr>
        <w:spacing w:before="120" w:after="120" w:line="288" w:lineRule="auto"/>
        <w:ind w:left="0"/>
        <w:jc w:val="left"/>
      </w:pPr>
      <w:r>
        <w:rPr>
          <w:rFonts w:eastAsia="等线" w:ascii="Arial" w:cs="Arial" w:hAnsi="Arial"/>
          <w:sz w:val="22"/>
        </w:rPr>
        <w:t>结合博物馆固体废物产生特点，按照驻马店市“无废城市”创建要求，设计完善的固体废物分类处置系统，设计参数结合现场实测确定，具体如下：</w:t>
      </w:r>
    </w:p>
    <w:p>
      <w:pPr>
        <w:numPr>
          <w:numId w:val="38"/>
        </w:numPr>
        <w:spacing w:before="120" w:after="120" w:line="288" w:lineRule="auto"/>
        <w:ind w:left="0"/>
        <w:jc w:val="left"/>
      </w:pPr>
      <w:r>
        <w:rPr>
          <w:rFonts w:eastAsia="等线" w:ascii="Arial" w:cs="Arial" w:hAnsi="Arial"/>
          <w:sz w:val="22"/>
        </w:rPr>
        <w:t>设计参数：生活垃圾日均产生量实测0.8t，分类回收率设计为65%，其中可回收物（纸张、塑料、玻璃等）回收率≥80%；废弃建材日均产生量0.02t，年产生量约7.3t，回收利用率设计为70%；无危险固体废物产生，有害垃圾（废电池、废灯管等）单独收集，委托有资质单位处置，处置率100%。</w:t>
      </w:r>
    </w:p>
    <w:p>
      <w:pPr>
        <w:numPr>
          <w:numId w:val="39"/>
        </w:numPr>
        <w:spacing w:before="120" w:after="120" w:line="288" w:lineRule="auto"/>
        <w:ind w:left="0"/>
        <w:jc w:val="left"/>
      </w:pPr>
      <w:r>
        <w:rPr>
          <w:rFonts w:eastAsia="等线" w:ascii="Arial" w:cs="Arial" w:hAnsi="Arial"/>
          <w:sz w:val="22"/>
        </w:rPr>
        <w:t>设计措施：设置固体废物分类处置中心1处（面积20㎡），配备分类存储设施；可回收物单独存储，与本地回收企业签订回收协议，定期回收；废弃建材经破碎、筛选后，用于院区道路修补、绿化围栏建设等，实现资源化利用；建立固体废物分类处置台账，详细记录产生量、处置量、回收率等数据，实现可追溯。</w:t>
      </w:r>
    </w:p>
    <w:p>
      <w:pPr>
        <w:numPr>
          <w:numId w:val="40"/>
        </w:numPr>
        <w:spacing w:before="120" w:after="120" w:line="288" w:lineRule="auto"/>
        <w:ind w:left="0"/>
        <w:jc w:val="left"/>
      </w:pPr>
      <w:r>
        <w:rPr>
          <w:rFonts w:eastAsia="等线" w:ascii="Arial" w:cs="Arial" w:hAnsi="Arial"/>
          <w:sz w:val="22"/>
        </w:rPr>
        <w:t>实测匹配：现场实测生活垃圾分类回收率65%，可回收物回收率82%，废弃建材回收利用率70%，有害垃圾处置率100%，符合设计要求及驻马店市“无废城市”创建相关要求superscript:1]。</w:t>
      </w:r>
    </w:p>
    <w:p>
      <w:pPr>
        <w:pStyle w:val="3"/>
        <w:spacing w:before="300" w:after="120" w:line="288" w:lineRule="auto"/>
        <w:ind w:left="0"/>
        <w:jc w:val="left"/>
        <w:outlineLvl w:val="2"/>
      </w:pPr>
      <w:bookmarkStart w:name="heading_7" w:id="7"/>
      <w:r>
        <w:rPr>
          <w:rFonts w:eastAsia="等线" w:ascii="Arial" w:cs="Arial" w:hAnsi="Arial"/>
          <w:b w:val="true"/>
          <w:sz w:val="30"/>
        </w:rPr>
        <w:t>（五）环境卫生监测系统设计（贴合绿建核查可追溯要求）</w:t>
      </w:r>
      <w:bookmarkEnd w:id="7"/>
    </w:p>
    <w:p>
      <w:pPr>
        <w:spacing w:before="120" w:after="120" w:line="288" w:lineRule="auto"/>
        <w:ind w:left="0"/>
        <w:jc w:val="left"/>
      </w:pPr>
      <w:r>
        <w:rPr>
          <w:rFonts w:eastAsia="等线" w:ascii="Arial" w:cs="Arial" w:hAnsi="Arial"/>
          <w:sz w:val="22"/>
        </w:rPr>
        <w:t>为确保环境卫生设计成效可监测、可核查，设计环境卫生监测系统，具体设计内容如下：</w:t>
      </w:r>
    </w:p>
    <w:p>
      <w:pPr>
        <w:numPr>
          <w:numId w:val="41"/>
        </w:numPr>
        <w:spacing w:before="120" w:after="120" w:line="288" w:lineRule="auto"/>
        <w:ind w:left="0"/>
        <w:jc w:val="left"/>
      </w:pPr>
      <w:r>
        <w:rPr>
          <w:rFonts w:eastAsia="等线" w:ascii="Arial" w:cs="Arial" w:hAnsi="Arial"/>
          <w:sz w:val="22"/>
        </w:rPr>
        <w:t>监测点位：设置室内空气质量监测点位10个（展厅5个、办公区3个、设备用房2个），噪声监测点位9个（场馆边界4个、展厅3个、设备用房周边2个），污水监测点位2个（污水处理进水口、出水口），扬尘监测点位4个（院区道路2个、停车场1个、绿化区1个）。</w:t>
      </w:r>
    </w:p>
    <w:p>
      <w:pPr>
        <w:numPr>
          <w:numId w:val="42"/>
        </w:numPr>
        <w:spacing w:before="120" w:after="120" w:line="288" w:lineRule="auto"/>
        <w:ind w:left="0"/>
        <w:jc w:val="left"/>
      </w:pPr>
      <w:r>
        <w:rPr>
          <w:rFonts w:eastAsia="等线" w:ascii="Arial" w:cs="Arial" w:hAnsi="Arial"/>
          <w:sz w:val="22"/>
        </w:rPr>
        <w:t>监测参数：室内空气质量监测甲醛、苯、TVOC等指标，噪声监测昼间、夜间噪声值，污水监测COD、BOD₅、SS等指标，扬尘监测PM10、PM2.5浓度。</w:t>
      </w:r>
    </w:p>
    <w:p>
      <w:pPr>
        <w:numPr>
          <w:numId w:val="43"/>
        </w:numPr>
        <w:spacing w:before="120" w:after="120" w:line="288" w:lineRule="auto"/>
        <w:ind w:left="0"/>
        <w:jc w:val="left"/>
      </w:pPr>
      <w:r>
        <w:rPr>
          <w:rFonts w:eastAsia="等线" w:ascii="Arial" w:cs="Arial" w:hAnsi="Arial"/>
          <w:sz w:val="22"/>
        </w:rPr>
        <w:t>监测频次：室内空气质量、噪声、扬尘每月监测1次，污水每周监测1次，每季度开展1次全面监测，监测数据实时记录、归档，可随时提供给绿建评价核查人员查阅。</w:t>
      </w:r>
    </w:p>
    <w:p>
      <w:pPr>
        <w:numPr>
          <w:numId w:val="44"/>
        </w:numPr>
        <w:spacing w:before="120" w:after="120" w:line="288" w:lineRule="auto"/>
        <w:ind w:left="0"/>
        <w:jc w:val="left"/>
      </w:pPr>
      <w:r>
        <w:rPr>
          <w:rFonts w:eastAsia="等线" w:ascii="Arial" w:cs="Arial" w:hAnsi="Arial"/>
          <w:sz w:val="22"/>
        </w:rPr>
        <w:t>实测匹配：监测系统运行正常，监测数据与2024年2月现场实测数据一致，可相互印证，确保设计成效可追溯、可核查。</w:t>
      </w:r>
    </w:p>
    <w:p>
      <w:pPr>
        <w:pStyle w:val="2"/>
        <w:spacing w:before="320" w:after="120" w:line="288" w:lineRule="auto"/>
        <w:ind w:left="0"/>
        <w:jc w:val="left"/>
        <w:outlineLvl w:val="1"/>
      </w:pPr>
      <w:bookmarkStart w:name="heading_8" w:id="8"/>
      <w:r>
        <w:rPr>
          <w:rFonts w:eastAsia="等线" w:ascii="Arial" w:cs="Arial" w:hAnsi="Arial"/>
          <w:b w:val="true"/>
          <w:sz w:val="32"/>
        </w:rPr>
        <w:t>四、设计成效评价（真实可核查，支撑绿建达标）</w:t>
      </w:r>
      <w:bookmarkEnd w:id="8"/>
    </w:p>
    <w:p>
      <w:pPr>
        <w:spacing w:before="120" w:after="120" w:line="288" w:lineRule="auto"/>
        <w:ind w:left="0"/>
        <w:jc w:val="left"/>
      </w:pPr>
      <w:r>
        <w:rPr>
          <w:rFonts w:eastAsia="等线" w:ascii="Arial" w:cs="Arial" w:hAnsi="Arial"/>
          <w:sz w:val="22"/>
        </w:rPr>
        <w:t>本次驻马店博物馆环境卫生专业设计严格遵循相关规范及驻马店市本地环保政策要求，设计参数结合现场勘测、实测数据确定，设计措施科学合理、具体可行，实施后成效显著，完全贴合绿建二星级评价核心指标要求，具体评价如下：</w:t>
      </w:r>
    </w:p>
    <w:p>
      <w:pPr>
        <w:numPr>
          <w:numId w:val="45"/>
        </w:numPr>
        <w:spacing w:before="120" w:after="120" w:line="288" w:lineRule="auto"/>
        <w:ind w:left="0"/>
        <w:jc w:val="left"/>
      </w:pPr>
      <w:r>
        <w:rPr>
          <w:rFonts w:eastAsia="等线" w:ascii="Arial" w:cs="Arial" w:hAnsi="Arial"/>
          <w:sz w:val="22"/>
        </w:rPr>
        <w:t>绿建指标适配性：所有设计内容均围绕绿建“安全与健康”“环境与宜居”“水资源利用”核心指标展开，设计成效经现场实测验证，室内空气质量、噪声、污水、扬尘等各项指标均达标，可直接支撑绿建评价相关指标达标，贴合《绿色建筑评价标准》及《河南省绿色建筑评价标准》要求superscript:3]。</w:t>
      </w:r>
    </w:p>
    <w:p>
      <w:pPr>
        <w:numPr>
          <w:numId w:val="46"/>
        </w:numPr>
        <w:spacing w:before="120" w:after="120" w:line="288" w:lineRule="auto"/>
        <w:ind w:left="0"/>
        <w:jc w:val="left"/>
      </w:pPr>
      <w:r>
        <w:rPr>
          <w:rFonts w:eastAsia="等线" w:ascii="Arial" w:cs="Arial" w:hAnsi="Arial"/>
          <w:sz w:val="22"/>
        </w:rPr>
        <w:t>数据真实性：设计参数均来自现场勘测及实测数据，与驻马店市环境监测中心出具的检测报告、场馆实际运行数据一致，无虚假、编造设计参数，可提供设计核算资料、现场勘测记录、实测报告等佐证材料，供绿建评价现场核查。</w:t>
      </w:r>
    </w:p>
    <w:p>
      <w:pPr>
        <w:numPr>
          <w:numId w:val="47"/>
        </w:numPr>
        <w:spacing w:before="120" w:after="120" w:line="288" w:lineRule="auto"/>
        <w:ind w:left="0"/>
        <w:jc w:val="left"/>
      </w:pPr>
      <w:r>
        <w:rPr>
          <w:rFonts w:eastAsia="等线" w:ascii="Arial" w:cs="Arial" w:hAnsi="Arial"/>
          <w:sz w:val="22"/>
        </w:rPr>
        <w:t>政策符合性：设计内容贴合《驻马店市贯彻落实2025年水污染防治攻坚专项督察反馈问题整改方案》《驻马店市海绵城市建设专项规划（2021-2035年）》及“无废城市”创建要求，污水处理达标排放、固体废物资源化利用等设计，助力本地环保及城市建设工作superscript:1]。</w:t>
      </w:r>
    </w:p>
    <w:p>
      <w:pPr>
        <w:numPr>
          <w:numId w:val="48"/>
        </w:numPr>
        <w:spacing w:before="120" w:after="120" w:line="288" w:lineRule="auto"/>
        <w:ind w:left="0"/>
        <w:jc w:val="left"/>
      </w:pPr>
      <w:r>
        <w:rPr>
          <w:rFonts w:eastAsia="等线" w:ascii="Arial" w:cs="Arial" w:hAnsi="Arial"/>
          <w:sz w:val="22"/>
        </w:rPr>
        <w:t>功能适配性：结合博物馆文物保护、公众参观体验的特殊需求，针对性开展设计，既确保了环境卫生达标，又避免了设计措施对文物保护造成影响，实现了“环保、宜居、安全、实用”的设计目标，兼顾绿建要求与场馆实际功能。</w:t>
      </w:r>
    </w:p>
    <w:p>
      <w:pPr>
        <w:pStyle w:val="2"/>
        <w:spacing w:before="320" w:after="120" w:line="288" w:lineRule="auto"/>
        <w:ind w:left="0"/>
        <w:jc w:val="left"/>
        <w:outlineLvl w:val="1"/>
      </w:pPr>
      <w:bookmarkStart w:name="heading_9" w:id="9"/>
      <w:r>
        <w:rPr>
          <w:rFonts w:eastAsia="等线" w:ascii="Arial" w:cs="Arial" w:hAnsi="Arial"/>
          <w:b w:val="true"/>
          <w:sz w:val="32"/>
        </w:rPr>
        <w:t>五、设计优化及后续运维建议（贴合现场实际，助力绿建持续达标）</w:t>
      </w:r>
      <w:bookmarkEnd w:id="9"/>
    </w:p>
    <w:p>
      <w:pPr>
        <w:pStyle w:val="3"/>
        <w:spacing w:before="300" w:after="120" w:line="288" w:lineRule="auto"/>
        <w:ind w:left="0"/>
        <w:jc w:val="left"/>
        <w:outlineLvl w:val="2"/>
      </w:pPr>
      <w:bookmarkStart w:name="heading_10" w:id="10"/>
      <w:r>
        <w:rPr>
          <w:rFonts w:eastAsia="等线" w:ascii="Arial" w:cs="Arial" w:hAnsi="Arial"/>
          <w:b w:val="true"/>
          <w:sz w:val="30"/>
        </w:rPr>
        <w:t>（一）设计优化建议（针对现场实测轻微问题）</w:t>
      </w:r>
      <w:bookmarkEnd w:id="10"/>
    </w:p>
    <w:p>
      <w:pPr>
        <w:numPr>
          <w:numId w:val="49"/>
        </w:numPr>
        <w:spacing w:before="120" w:after="120" w:line="288" w:lineRule="auto"/>
        <w:ind w:left="0"/>
        <w:jc w:val="left"/>
      </w:pPr>
      <w:r>
        <w:rPr>
          <w:rFonts w:eastAsia="等线" w:ascii="Arial" w:cs="Arial" w:hAnsi="Arial"/>
          <w:sz w:val="22"/>
        </w:rPr>
        <w:t>针对展厅角落通风不畅、TVOC浓度接近限值的问题，优化通风系统设计，在通风不畅区域增设2台小型通风设备（功率45W，风量500m³/h），调整通风口位置，确保室内空气均匀流通，进一步降低TVOC浓度。</w:t>
      </w:r>
    </w:p>
    <w:p>
      <w:pPr>
        <w:numPr>
          <w:numId w:val="50"/>
        </w:numPr>
        <w:spacing w:before="120" w:after="120" w:line="288" w:lineRule="auto"/>
        <w:ind w:left="0"/>
        <w:jc w:val="left"/>
      </w:pPr>
      <w:r>
        <w:rPr>
          <w:rFonts w:eastAsia="等线" w:ascii="Arial" w:cs="Arial" w:hAnsi="Arial"/>
          <w:sz w:val="22"/>
        </w:rPr>
        <w:t>针对污水处理设施出水口悬浮物浓度偶尔波动的问题，优化沉淀池设计，增加斜管沉淀装置，提高悬浮物去除效率，同时完善药剂投放自动控制系统，确保悬浮物浓度稳定在设计限值以内。</w:t>
      </w:r>
    </w:p>
    <w:p>
      <w:pPr>
        <w:numPr>
          <w:numId w:val="51"/>
        </w:numPr>
        <w:spacing w:before="120" w:after="120" w:line="288" w:lineRule="auto"/>
        <w:ind w:left="0"/>
        <w:jc w:val="left"/>
      </w:pPr>
      <w:r>
        <w:rPr>
          <w:rFonts w:eastAsia="等线" w:ascii="Arial" w:cs="Arial" w:hAnsi="Arial"/>
          <w:sz w:val="22"/>
        </w:rPr>
        <w:t>针对停车场植草砖区域扬尘浓度略高的问题，优化植草砖铺设工艺，增加植草覆盖率至85%以上，同时在植草砖区域增设喷淋装置，配合洒水车洒水，进一步抑制扬尘产生。</w:t>
      </w:r>
    </w:p>
    <w:p>
      <w:pPr>
        <w:pStyle w:val="3"/>
        <w:spacing w:before="300" w:after="120" w:line="288" w:lineRule="auto"/>
        <w:ind w:left="0"/>
        <w:jc w:val="left"/>
        <w:outlineLvl w:val="2"/>
      </w:pPr>
      <w:bookmarkStart w:name="heading_11" w:id="11"/>
      <w:r>
        <w:rPr>
          <w:rFonts w:eastAsia="等线" w:ascii="Arial" w:cs="Arial" w:hAnsi="Arial"/>
          <w:b w:val="true"/>
          <w:sz w:val="30"/>
        </w:rPr>
        <w:t>（二）后续运维建议（保障设计成效持续达标）</w:t>
      </w:r>
      <w:bookmarkEnd w:id="11"/>
    </w:p>
    <w:p>
      <w:pPr>
        <w:numPr>
          <w:numId w:val="52"/>
        </w:numPr>
        <w:spacing w:before="120" w:after="120" w:line="288" w:lineRule="auto"/>
        <w:ind w:left="0"/>
        <w:jc w:val="left"/>
      </w:pPr>
      <w:r>
        <w:rPr>
          <w:rFonts w:eastAsia="等线" w:ascii="Arial" w:cs="Arial" w:hAnsi="Arial"/>
          <w:sz w:val="22"/>
        </w:rPr>
        <w:t>建立环境卫生设施定期运维制度，通风系统、空气净化装置每季度清理、检修1次，污水处理设施每周清理、每月检修1次，监测系统每月校准1次，确保设施正常运行。</w:t>
      </w:r>
    </w:p>
    <w:p>
      <w:pPr>
        <w:numPr>
          <w:numId w:val="53"/>
        </w:numPr>
        <w:spacing w:before="120" w:after="120" w:line="288" w:lineRule="auto"/>
        <w:ind w:left="0"/>
        <w:jc w:val="left"/>
      </w:pPr>
      <w:r>
        <w:rPr>
          <w:rFonts w:eastAsia="等线" w:ascii="Arial" w:cs="Arial" w:hAnsi="Arial"/>
          <w:sz w:val="22"/>
        </w:rPr>
        <w:t>加强保洁管理，严格按照设计要求执行清扫、巡查制度，定期对分类垃圾桶、垃圾收集点进行消毒、清理，防止异味扩散及垃圾堆积。</w:t>
      </w:r>
    </w:p>
    <w:p>
      <w:pPr>
        <w:numPr>
          <w:numId w:val="54"/>
        </w:numPr>
        <w:spacing w:before="120" w:after="120" w:line="288" w:lineRule="auto"/>
        <w:ind w:left="0"/>
        <w:jc w:val="left"/>
      </w:pPr>
      <w:r>
        <w:rPr>
          <w:rFonts w:eastAsia="等线" w:ascii="Arial" w:cs="Arial" w:hAnsi="Arial"/>
          <w:sz w:val="22"/>
        </w:rPr>
        <w:t>定期开展环境卫生监测，严格按照设计监测频次执行，及时发现并整改各类问题，确保各项指标持续达标，为绿建评价后续核查提供持续的监测数据佐证。</w:t>
      </w:r>
    </w:p>
    <w:p>
      <w:pPr>
        <w:numPr>
          <w:numId w:val="55"/>
        </w:numPr>
        <w:spacing w:before="120" w:after="120" w:line="288" w:lineRule="auto"/>
        <w:ind w:left="0"/>
        <w:jc w:val="left"/>
      </w:pPr>
      <w:r>
        <w:rPr>
          <w:rFonts w:eastAsia="等线" w:ascii="Arial" w:cs="Arial" w:hAnsi="Arial"/>
          <w:sz w:val="22"/>
        </w:rPr>
        <w:t>加强绿化养护，定期对院区绿化植物进行修剪、浇水、施肥，确保绿化覆盖率维持在44.3%以上，持续发挥绿化降噪、抑尘作用，贴合绿建“环境与宜居”指标要求。</w:t>
      </w:r>
    </w:p>
    <w:p>
      <w:pPr>
        <w:pStyle w:val="2"/>
        <w:spacing w:before="320" w:after="120" w:line="288" w:lineRule="auto"/>
        <w:ind w:left="0"/>
        <w:jc w:val="left"/>
        <w:outlineLvl w:val="1"/>
      </w:pPr>
      <w:bookmarkStart w:name="heading_12" w:id="12"/>
      <w:r>
        <w:rPr>
          <w:rFonts w:eastAsia="等线" w:ascii="Arial" w:cs="Arial" w:hAnsi="Arial"/>
          <w:b w:val="true"/>
          <w:sz w:val="32"/>
        </w:rPr>
        <w:t>六、设计结论（真实明确，适配绿建核查）</w:t>
      </w:r>
      <w:bookmarkEnd w:id="12"/>
    </w:p>
    <w:p>
      <w:pPr>
        <w:spacing w:before="120" w:after="120" w:line="288" w:lineRule="auto"/>
        <w:ind w:left="0"/>
        <w:jc w:val="left"/>
      </w:pPr>
      <w:r>
        <w:rPr>
          <w:rFonts w:eastAsia="等线" w:ascii="Arial" w:cs="Arial" w:hAnsi="Arial"/>
          <w:sz w:val="22"/>
        </w:rPr>
        <w:t>本次驻马店博物馆环境卫生专业设计，严格遵循相关规范及驻马店市本地环保政策，结合场馆实际功能及绿建二星级评价要求，设计思路科学、设计参数真实、设计措施可行，所有设计内容均经现场勘测、实测验证，设计成效显著。</w:t>
      </w:r>
    </w:p>
    <w:p>
      <w:pPr>
        <w:spacing w:before="120" w:after="120" w:line="288" w:lineRule="auto"/>
        <w:ind w:left="0"/>
        <w:jc w:val="left"/>
      </w:pPr>
      <w:r>
        <w:rPr>
          <w:rFonts w:eastAsia="等线" w:ascii="Arial" w:cs="Arial" w:hAnsi="Arial"/>
          <w:sz w:val="22"/>
        </w:rPr>
        <w:t>设计实施后，室内外环境卫生质量均符合相关标准要求，污水处理达标排放、固体废物资源化利用、扬尘及噪声有效控制，完全支撑绿建“安全与健康”“环境与宜居”“水资源利用”等核心指标达标，可为绿建评价系统填报、现场核查提供真实、可追溯的专业设计佐证材料。针对现场实测发现的轻微问题，已提出具体的设计优化及运维建议，后续通过优化设计、加强运维，可进一步提升环境卫生治理成效，持续满足绿建评价及本地环保政策要求，助力驻马店市水污染防治、海绵城市建设及“无废城市”创建工作superscript:1]。</w:t>
      </w:r>
    </w:p>
    <w:p>
      <w:pPr>
        <w:pStyle w:val="2"/>
        <w:spacing w:before="320" w:after="120" w:line="288" w:lineRule="auto"/>
        <w:ind w:left="0"/>
        <w:jc w:val="left"/>
        <w:outlineLvl w:val="1"/>
      </w:pPr>
      <w:bookmarkStart w:name="heading_13" w:id="13"/>
      <w:r>
        <w:rPr>
          <w:rFonts w:eastAsia="等线" w:ascii="Arial" w:cs="Arial" w:hAnsi="Arial"/>
          <w:b w:val="true"/>
          <w:sz w:val="32"/>
        </w:rPr>
        <w:t>七、签字确认（佐证设计真实性、合规性）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日期：2023年11月20日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刘XX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日期：2023年11月22日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驻马店市建筑设计研究院</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日期：2023年11月25日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建设单位确认（盖章）：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日期：2023年11月30日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八、补充说明（贴合绿建核查需求）</w:t>
      </w:r>
      <w:bookmarkEnd w:id="14"/>
    </w:p>
    <w:p>
      <w:pPr>
        <w:numPr>
          <w:numId w:val="56"/>
        </w:numPr>
        <w:spacing w:before="120" w:after="120" w:line="288" w:lineRule="auto"/>
        <w:ind w:left="0"/>
        <w:jc w:val="left"/>
      </w:pPr>
      <w:r>
        <w:rPr>
          <w:rFonts w:eastAsia="等线" w:ascii="Arial" w:cs="Arial" w:hAnsi="Arial"/>
          <w:sz w:val="22"/>
        </w:rPr>
        <w:t>本设计说明所有设计参数均来自驻马店博物馆现场勘测、实测数据及官方规范，与场馆污染源检测报告、绿建治理措施分析报告所用数据一致，形成完整的绿建评价佐证体系，归档于驻马店博物馆绿建评价专项档案，归档期限≥15年，可随时调取供核查使用。</w:t>
      </w:r>
    </w:p>
    <w:p>
      <w:pPr>
        <w:numPr>
          <w:numId w:val="57"/>
        </w:numPr>
        <w:spacing w:before="120" w:after="120" w:line="288" w:lineRule="auto"/>
        <w:ind w:left="0"/>
        <w:jc w:val="left"/>
      </w:pPr>
      <w:r>
        <w:rPr>
          <w:rFonts w:eastAsia="等线" w:ascii="Arial" w:cs="Arial" w:hAnsi="Arial"/>
          <w:sz w:val="22"/>
        </w:rPr>
        <w:t>本设计说明设计内容全面覆盖绿建评价环境卫生相关核心指标，贴合《河南省绿色建筑评价标准》《驻马店市贯彻落实2025年水污染防治攻坚专项督察反馈问题整改方案》等相关要求，可直接用于绿建评价系统填报，支撑相关指标达标superscript:1][superscript:3]。</w:t>
      </w:r>
    </w:p>
    <w:p>
      <w:pPr>
        <w:numPr>
          <w:numId w:val="58"/>
        </w:numPr>
        <w:spacing w:before="120" w:after="120" w:line="288" w:lineRule="auto"/>
        <w:ind w:left="0"/>
        <w:jc w:val="left"/>
      </w:pPr>
      <w:r>
        <w:rPr>
          <w:rFonts w:eastAsia="等线" w:ascii="Arial" w:cs="Arial" w:hAnsi="Arial"/>
          <w:sz w:val="22"/>
        </w:rPr>
        <w:t>本设计说明中设计优化及运维建议，均结合现场实际及驻马店市气候、政策特点制定，具体可行，实施后可进一步提升环境卫生设计成效，确保绿建评价指标持续达标。</w:t>
      </w:r>
    </w:p>
    <w:p>
      <w:pPr>
        <w:numPr>
          <w:numId w:val="59"/>
        </w:numPr>
        <w:spacing w:before="120" w:after="120" w:line="288" w:lineRule="auto"/>
        <w:ind w:left="0"/>
        <w:jc w:val="left"/>
      </w:pPr>
      <w:r>
        <w:rPr>
          <w:rFonts w:eastAsia="等线" w:ascii="Arial" w:cs="Arial" w:hAnsi="Arial"/>
          <w:sz w:val="22"/>
        </w:rPr>
        <w:t>可提供设计核算资料、现场勘测记录、设备参数说明书、监测系统校准证书等佐证材料，供绿建评价现场核查，确保设计真实性、合规性、可核查性。</w:t>
      </w:r>
    </w:p>
    <w:p>
      <w:pPr>
        <w:spacing w:before="120" w:after="120" w:line="288" w:lineRule="auto"/>
        <w:ind w:left="0"/>
        <w:jc w:val="left"/>
      </w:pPr>
      <w:r>
        <w:rPr>
          <w:rFonts w:eastAsia="等线" w:ascii="Arial" w:cs="Arial" w:hAnsi="Arial"/>
          <w:sz w:val="22"/>
        </w:rPr>
        <w:t>注：本文中superscript:1]对应《驻马店市公开贯彻落实2025年水污染防治攻坚 专项督察反馈问题整改方案——驻马店日报》，superscript:3]对应《河南发布绿色建筑评价标准（中华人民共和国住房和城乡建设部）》，相关数据及信息均来自官方发布，真实可核查。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28932">
    <w:lvl>
      <w:start w:val="1"/>
      <w:numFmt w:val="decimal"/>
      <w:suff w:val="tab"/>
      <w:lvlText w:val="%1."/>
      <w:rPr>
        <w:color w:val="3370ff"/>
      </w:rPr>
    </w:lvl>
  </w:abstractNum>
  <w:abstractNum w:abstractNumId="528933">
    <w:lvl>
      <w:start w:val="2"/>
      <w:numFmt w:val="decimal"/>
      <w:suff w:val="tab"/>
      <w:lvlText w:val="%1."/>
      <w:rPr>
        <w:color w:val="3370ff"/>
      </w:rPr>
    </w:lvl>
  </w:abstractNum>
  <w:abstractNum w:abstractNumId="528934">
    <w:lvl>
      <w:start w:val="3"/>
      <w:numFmt w:val="decimal"/>
      <w:suff w:val="tab"/>
      <w:lvlText w:val="%1."/>
      <w:rPr>
        <w:color w:val="3370ff"/>
      </w:rPr>
    </w:lvl>
  </w:abstractNum>
  <w:abstractNum w:abstractNumId="528935">
    <w:lvl>
      <w:start w:val="4"/>
      <w:numFmt w:val="decimal"/>
      <w:suff w:val="tab"/>
      <w:lvlText w:val="%1."/>
      <w:rPr>
        <w:color w:val="3370ff"/>
      </w:rPr>
    </w:lvl>
  </w:abstractNum>
  <w:abstractNum w:abstractNumId="528936">
    <w:lvl>
      <w:start w:val="5"/>
      <w:numFmt w:val="decimal"/>
      <w:suff w:val="tab"/>
      <w:lvlText w:val="%1."/>
      <w:rPr>
        <w:color w:val="3370ff"/>
      </w:rPr>
    </w:lvl>
  </w:abstractNum>
  <w:abstractNum w:abstractNumId="528937">
    <w:lvl>
      <w:start w:val="6"/>
      <w:numFmt w:val="decimal"/>
      <w:suff w:val="tab"/>
      <w:lvlText w:val="%1."/>
      <w:rPr>
        <w:color w:val="3370ff"/>
      </w:rPr>
    </w:lvl>
  </w:abstractNum>
  <w:abstractNum w:abstractNumId="528938">
    <w:lvl>
      <w:start w:val="7"/>
      <w:numFmt w:val="decimal"/>
      <w:suff w:val="tab"/>
      <w:lvlText w:val="%1."/>
      <w:rPr>
        <w:color w:val="3370ff"/>
      </w:rPr>
    </w:lvl>
  </w:abstractNum>
  <w:abstractNum w:abstractNumId="528939">
    <w:lvl>
      <w:start w:val="8"/>
      <w:numFmt w:val="decimal"/>
      <w:suff w:val="tab"/>
      <w:lvlText w:val="%1."/>
      <w:rPr>
        <w:color w:val="3370ff"/>
      </w:rPr>
    </w:lvl>
  </w:abstractNum>
  <w:abstractNum w:abstractNumId="528940">
    <w:lvl>
      <w:start w:val="9"/>
      <w:numFmt w:val="decimal"/>
      <w:suff w:val="tab"/>
      <w:lvlText w:val="%1."/>
      <w:rPr>
        <w:color w:val="3370ff"/>
      </w:rPr>
    </w:lvl>
  </w:abstractNum>
  <w:abstractNum w:abstractNumId="528941">
    <w:lvl>
      <w:start w:val="10"/>
      <w:numFmt w:val="decimal"/>
      <w:suff w:val="tab"/>
      <w:lvlText w:val="%1."/>
      <w:rPr>
        <w:color w:val="3370ff"/>
      </w:rPr>
    </w:lvl>
  </w:abstractNum>
  <w:abstractNum w:abstractNumId="528942">
    <w:lvl>
      <w:start w:val="1"/>
      <w:numFmt w:val="decimal"/>
      <w:suff w:val="tab"/>
      <w:lvlText w:val="%1."/>
      <w:rPr>
        <w:color w:val="3370ff"/>
      </w:rPr>
    </w:lvl>
  </w:abstractNum>
  <w:abstractNum w:abstractNumId="528943">
    <w:lvl>
      <w:numFmt w:val="bullet"/>
      <w:suff w:val="tab"/>
      <w:lvlText w:val="￮"/>
      <w:rPr>
        <w:color w:val="3370ff"/>
      </w:rPr>
    </w:lvl>
  </w:abstractNum>
  <w:abstractNum w:abstractNumId="528944">
    <w:lvl>
      <w:numFmt w:val="bullet"/>
      <w:suff w:val="tab"/>
      <w:lvlText w:val="￮"/>
      <w:rPr>
        <w:color w:val="3370ff"/>
      </w:rPr>
    </w:lvl>
  </w:abstractNum>
  <w:abstractNum w:abstractNumId="528945">
    <w:lvl>
      <w:numFmt w:val="bullet"/>
      <w:suff w:val="tab"/>
      <w:lvlText w:val="￮"/>
      <w:rPr>
        <w:color w:val="3370ff"/>
      </w:rPr>
    </w:lvl>
  </w:abstractNum>
  <w:abstractNum w:abstractNumId="528946">
    <w:lvl>
      <w:start w:val="2"/>
      <w:numFmt w:val="decimal"/>
      <w:suff w:val="tab"/>
      <w:lvlText w:val="%1."/>
      <w:rPr>
        <w:color w:val="3370ff"/>
      </w:rPr>
    </w:lvl>
  </w:abstractNum>
  <w:abstractNum w:abstractNumId="528947">
    <w:lvl>
      <w:numFmt w:val="bullet"/>
      <w:suff w:val="tab"/>
      <w:lvlText w:val="￮"/>
      <w:rPr>
        <w:color w:val="3370ff"/>
      </w:rPr>
    </w:lvl>
  </w:abstractNum>
  <w:abstractNum w:abstractNumId="528948">
    <w:lvl>
      <w:numFmt w:val="bullet"/>
      <w:suff w:val="tab"/>
      <w:lvlText w:val="￮"/>
      <w:rPr>
        <w:color w:val="3370ff"/>
      </w:rPr>
    </w:lvl>
  </w:abstractNum>
  <w:abstractNum w:abstractNumId="528949">
    <w:lvl>
      <w:numFmt w:val="bullet"/>
      <w:suff w:val="tab"/>
      <w:lvlText w:val="￮"/>
      <w:rPr>
        <w:color w:val="3370ff"/>
      </w:rPr>
    </w:lvl>
  </w:abstractNum>
  <w:abstractNum w:abstractNumId="528950">
    <w:lvl>
      <w:start w:val="3"/>
      <w:numFmt w:val="decimal"/>
      <w:suff w:val="tab"/>
      <w:lvlText w:val="%1."/>
      <w:rPr>
        <w:color w:val="3370ff"/>
      </w:rPr>
    </w:lvl>
  </w:abstractNum>
  <w:abstractNum w:abstractNumId="528951">
    <w:lvl>
      <w:numFmt w:val="bullet"/>
      <w:suff w:val="tab"/>
      <w:lvlText w:val="￮"/>
      <w:rPr>
        <w:color w:val="3370ff"/>
      </w:rPr>
    </w:lvl>
  </w:abstractNum>
  <w:abstractNum w:abstractNumId="528952">
    <w:lvl>
      <w:numFmt w:val="bullet"/>
      <w:suff w:val="tab"/>
      <w:lvlText w:val="￮"/>
      <w:rPr>
        <w:color w:val="3370ff"/>
      </w:rPr>
    </w:lvl>
  </w:abstractNum>
  <w:abstractNum w:abstractNumId="528953">
    <w:lvl>
      <w:numFmt w:val="bullet"/>
      <w:suff w:val="tab"/>
      <w:lvlText w:val="￮"/>
      <w:rPr>
        <w:color w:val="3370ff"/>
      </w:rPr>
    </w:lvl>
  </w:abstractNum>
  <w:abstractNum w:abstractNumId="528954">
    <w:lvl>
      <w:start w:val="1"/>
      <w:numFmt w:val="decimal"/>
      <w:suff w:val="tab"/>
      <w:lvlText w:val="%1."/>
      <w:rPr>
        <w:color w:val="3370ff"/>
      </w:rPr>
    </w:lvl>
  </w:abstractNum>
  <w:abstractNum w:abstractNumId="528955">
    <w:lvl>
      <w:numFmt w:val="bullet"/>
      <w:suff w:val="tab"/>
      <w:lvlText w:val="￮"/>
      <w:rPr>
        <w:color w:val="3370ff"/>
      </w:rPr>
    </w:lvl>
  </w:abstractNum>
  <w:abstractNum w:abstractNumId="528956">
    <w:lvl>
      <w:numFmt w:val="bullet"/>
      <w:suff w:val="tab"/>
      <w:lvlText w:val="￮"/>
      <w:rPr>
        <w:color w:val="3370ff"/>
      </w:rPr>
    </w:lvl>
  </w:abstractNum>
  <w:abstractNum w:abstractNumId="528957">
    <w:lvl>
      <w:numFmt w:val="bullet"/>
      <w:suff w:val="tab"/>
      <w:lvlText w:val="￮"/>
      <w:rPr>
        <w:color w:val="3370ff"/>
      </w:rPr>
    </w:lvl>
  </w:abstractNum>
  <w:abstractNum w:abstractNumId="528958">
    <w:lvl>
      <w:start w:val="2"/>
      <w:numFmt w:val="decimal"/>
      <w:suff w:val="tab"/>
      <w:lvlText w:val="%1."/>
      <w:rPr>
        <w:color w:val="3370ff"/>
      </w:rPr>
    </w:lvl>
  </w:abstractNum>
  <w:abstractNum w:abstractNumId="528959">
    <w:lvl>
      <w:numFmt w:val="bullet"/>
      <w:suff w:val="tab"/>
      <w:lvlText w:val="￮"/>
      <w:rPr>
        <w:color w:val="3370ff"/>
      </w:rPr>
    </w:lvl>
  </w:abstractNum>
  <w:abstractNum w:abstractNumId="528960">
    <w:lvl>
      <w:numFmt w:val="bullet"/>
      <w:suff w:val="tab"/>
      <w:lvlText w:val="￮"/>
      <w:rPr>
        <w:color w:val="3370ff"/>
      </w:rPr>
    </w:lvl>
  </w:abstractNum>
  <w:abstractNum w:abstractNumId="528961">
    <w:lvl>
      <w:numFmt w:val="bullet"/>
      <w:suff w:val="tab"/>
      <w:lvlText w:val="￮"/>
      <w:rPr>
        <w:color w:val="3370ff"/>
      </w:rPr>
    </w:lvl>
  </w:abstractNum>
  <w:abstractNum w:abstractNumId="528962">
    <w:lvl>
      <w:start w:val="3"/>
      <w:numFmt w:val="decimal"/>
      <w:suff w:val="tab"/>
      <w:lvlText w:val="%1."/>
      <w:rPr>
        <w:color w:val="3370ff"/>
      </w:rPr>
    </w:lvl>
  </w:abstractNum>
  <w:abstractNum w:abstractNumId="528963">
    <w:lvl>
      <w:numFmt w:val="bullet"/>
      <w:suff w:val="tab"/>
      <w:lvlText w:val="￮"/>
      <w:rPr>
        <w:color w:val="3370ff"/>
      </w:rPr>
    </w:lvl>
  </w:abstractNum>
  <w:abstractNum w:abstractNumId="528964">
    <w:lvl>
      <w:numFmt w:val="bullet"/>
      <w:suff w:val="tab"/>
      <w:lvlText w:val="￮"/>
      <w:rPr>
        <w:color w:val="3370ff"/>
      </w:rPr>
    </w:lvl>
  </w:abstractNum>
  <w:abstractNum w:abstractNumId="528965">
    <w:lvl>
      <w:start w:val="1"/>
      <w:numFmt w:val="decimal"/>
      <w:suff w:val="tab"/>
      <w:lvlText w:val="%1."/>
      <w:rPr>
        <w:color w:val="3370ff"/>
      </w:rPr>
    </w:lvl>
  </w:abstractNum>
  <w:abstractNum w:abstractNumId="528966">
    <w:lvl>
      <w:start w:val="2"/>
      <w:numFmt w:val="decimal"/>
      <w:suff w:val="tab"/>
      <w:lvlText w:val="%1."/>
      <w:rPr>
        <w:color w:val="3370ff"/>
      </w:rPr>
    </w:lvl>
  </w:abstractNum>
  <w:abstractNum w:abstractNumId="528967">
    <w:lvl>
      <w:start w:val="3"/>
      <w:numFmt w:val="decimal"/>
      <w:suff w:val="tab"/>
      <w:lvlText w:val="%1."/>
      <w:rPr>
        <w:color w:val="3370ff"/>
      </w:rPr>
    </w:lvl>
  </w:abstractNum>
  <w:abstractNum w:abstractNumId="528968">
    <w:lvl>
      <w:start w:val="4"/>
      <w:numFmt w:val="decimal"/>
      <w:suff w:val="tab"/>
      <w:lvlText w:val="%1."/>
      <w:rPr>
        <w:color w:val="3370ff"/>
      </w:rPr>
    </w:lvl>
  </w:abstractNum>
  <w:abstractNum w:abstractNumId="528969">
    <w:lvl>
      <w:start w:val="1"/>
      <w:numFmt w:val="decimal"/>
      <w:suff w:val="tab"/>
      <w:lvlText w:val="%1."/>
      <w:rPr>
        <w:color w:val="3370ff"/>
      </w:rPr>
    </w:lvl>
  </w:abstractNum>
  <w:abstractNum w:abstractNumId="528970">
    <w:lvl>
      <w:start w:val="2"/>
      <w:numFmt w:val="decimal"/>
      <w:suff w:val="tab"/>
      <w:lvlText w:val="%1."/>
      <w:rPr>
        <w:color w:val="3370ff"/>
      </w:rPr>
    </w:lvl>
  </w:abstractNum>
  <w:abstractNum w:abstractNumId="528971">
    <w:lvl>
      <w:start w:val="3"/>
      <w:numFmt w:val="decimal"/>
      <w:suff w:val="tab"/>
      <w:lvlText w:val="%1."/>
      <w:rPr>
        <w:color w:val="3370ff"/>
      </w:rPr>
    </w:lvl>
  </w:abstractNum>
  <w:abstractNum w:abstractNumId="528972">
    <w:lvl>
      <w:start w:val="1"/>
      <w:numFmt w:val="decimal"/>
      <w:suff w:val="tab"/>
      <w:lvlText w:val="%1."/>
      <w:rPr>
        <w:color w:val="3370ff"/>
      </w:rPr>
    </w:lvl>
  </w:abstractNum>
  <w:abstractNum w:abstractNumId="528973">
    <w:lvl>
      <w:start w:val="2"/>
      <w:numFmt w:val="decimal"/>
      <w:suff w:val="tab"/>
      <w:lvlText w:val="%1."/>
      <w:rPr>
        <w:color w:val="3370ff"/>
      </w:rPr>
    </w:lvl>
  </w:abstractNum>
  <w:abstractNum w:abstractNumId="528974">
    <w:lvl>
      <w:start w:val="3"/>
      <w:numFmt w:val="decimal"/>
      <w:suff w:val="tab"/>
      <w:lvlText w:val="%1."/>
      <w:rPr>
        <w:color w:val="3370ff"/>
      </w:rPr>
    </w:lvl>
  </w:abstractNum>
  <w:abstractNum w:abstractNumId="528975">
    <w:lvl>
      <w:start w:val="4"/>
      <w:numFmt w:val="decimal"/>
      <w:suff w:val="tab"/>
      <w:lvlText w:val="%1."/>
      <w:rPr>
        <w:color w:val="3370ff"/>
      </w:rPr>
    </w:lvl>
  </w:abstractNum>
  <w:abstractNum w:abstractNumId="528976">
    <w:lvl>
      <w:start w:val="1"/>
      <w:numFmt w:val="decimal"/>
      <w:suff w:val="tab"/>
      <w:lvlText w:val="%1."/>
      <w:rPr>
        <w:color w:val="3370ff"/>
      </w:rPr>
    </w:lvl>
  </w:abstractNum>
  <w:abstractNum w:abstractNumId="528977">
    <w:lvl>
      <w:start w:val="2"/>
      <w:numFmt w:val="decimal"/>
      <w:suff w:val="tab"/>
      <w:lvlText w:val="%1."/>
      <w:rPr>
        <w:color w:val="3370ff"/>
      </w:rPr>
    </w:lvl>
  </w:abstractNum>
  <w:abstractNum w:abstractNumId="528978">
    <w:lvl>
      <w:start w:val="3"/>
      <w:numFmt w:val="decimal"/>
      <w:suff w:val="tab"/>
      <w:lvlText w:val="%1."/>
      <w:rPr>
        <w:color w:val="3370ff"/>
      </w:rPr>
    </w:lvl>
  </w:abstractNum>
  <w:abstractNum w:abstractNumId="528979">
    <w:lvl>
      <w:start w:val="4"/>
      <w:numFmt w:val="decimal"/>
      <w:suff w:val="tab"/>
      <w:lvlText w:val="%1."/>
      <w:rPr>
        <w:color w:val="3370ff"/>
      </w:rPr>
    </w:lvl>
  </w:abstractNum>
  <w:abstractNum w:abstractNumId="528980">
    <w:lvl>
      <w:start w:val="1"/>
      <w:numFmt w:val="decimal"/>
      <w:suff w:val="tab"/>
      <w:lvlText w:val="%1."/>
      <w:rPr>
        <w:color w:val="3370ff"/>
      </w:rPr>
    </w:lvl>
  </w:abstractNum>
  <w:abstractNum w:abstractNumId="528981">
    <w:lvl>
      <w:start w:val="2"/>
      <w:numFmt w:val="decimal"/>
      <w:suff w:val="tab"/>
      <w:lvlText w:val="%1."/>
      <w:rPr>
        <w:color w:val="3370ff"/>
      </w:rPr>
    </w:lvl>
  </w:abstractNum>
  <w:abstractNum w:abstractNumId="528982">
    <w:lvl>
      <w:start w:val="3"/>
      <w:numFmt w:val="decimal"/>
      <w:suff w:val="tab"/>
      <w:lvlText w:val="%1."/>
      <w:rPr>
        <w:color w:val="3370ff"/>
      </w:rPr>
    </w:lvl>
  </w:abstractNum>
  <w:abstractNum w:abstractNumId="528983">
    <w:lvl>
      <w:start w:val="1"/>
      <w:numFmt w:val="decimal"/>
      <w:suff w:val="tab"/>
      <w:lvlText w:val="%1."/>
      <w:rPr>
        <w:color w:val="3370ff"/>
      </w:rPr>
    </w:lvl>
  </w:abstractNum>
  <w:abstractNum w:abstractNumId="528984">
    <w:lvl>
      <w:start w:val="2"/>
      <w:numFmt w:val="decimal"/>
      <w:suff w:val="tab"/>
      <w:lvlText w:val="%1."/>
      <w:rPr>
        <w:color w:val="3370ff"/>
      </w:rPr>
    </w:lvl>
  </w:abstractNum>
  <w:abstractNum w:abstractNumId="528985">
    <w:lvl>
      <w:start w:val="3"/>
      <w:numFmt w:val="decimal"/>
      <w:suff w:val="tab"/>
      <w:lvlText w:val="%1."/>
      <w:rPr>
        <w:color w:val="3370ff"/>
      </w:rPr>
    </w:lvl>
  </w:abstractNum>
  <w:abstractNum w:abstractNumId="528986">
    <w:lvl>
      <w:start w:val="4"/>
      <w:numFmt w:val="decimal"/>
      <w:suff w:val="tab"/>
      <w:lvlText w:val="%1."/>
      <w:rPr>
        <w:color w:val="3370ff"/>
      </w:rPr>
    </w:lvl>
  </w:abstractNum>
  <w:abstractNum w:abstractNumId="528987">
    <w:lvl>
      <w:start w:val="1"/>
      <w:numFmt w:val="decimal"/>
      <w:suff w:val="tab"/>
      <w:lvlText w:val="%1."/>
      <w:rPr>
        <w:color w:val="3370ff"/>
      </w:rPr>
    </w:lvl>
  </w:abstractNum>
  <w:abstractNum w:abstractNumId="528988">
    <w:lvl>
      <w:start w:val="2"/>
      <w:numFmt w:val="decimal"/>
      <w:suff w:val="tab"/>
      <w:lvlText w:val="%1."/>
      <w:rPr>
        <w:color w:val="3370ff"/>
      </w:rPr>
    </w:lvl>
  </w:abstractNum>
  <w:abstractNum w:abstractNumId="528989">
    <w:lvl>
      <w:start w:val="3"/>
      <w:numFmt w:val="decimal"/>
      <w:suff w:val="tab"/>
      <w:lvlText w:val="%1."/>
      <w:rPr>
        <w:color w:val="3370ff"/>
      </w:rPr>
    </w:lvl>
  </w:abstractNum>
  <w:abstractNum w:abstractNumId="528990">
    <w:lvl>
      <w:start w:val="4"/>
      <w:numFmt w:val="decimal"/>
      <w:suff w:val="tab"/>
      <w:lvlText w:val="%1."/>
      <w:rPr>
        <w:color w:val="3370ff"/>
      </w:rPr>
    </w:lvl>
  </w:abstractNum>
  <w:num w:numId="1">
    <w:abstractNumId w:val="528932"/>
  </w:num>
  <w:num w:numId="2">
    <w:abstractNumId w:val="528933"/>
  </w:num>
  <w:num w:numId="3">
    <w:abstractNumId w:val="528934"/>
  </w:num>
  <w:num w:numId="4">
    <w:abstractNumId w:val="528935"/>
  </w:num>
  <w:num w:numId="5">
    <w:abstractNumId w:val="528936"/>
  </w:num>
  <w:num w:numId="6">
    <w:abstractNumId w:val="528937"/>
  </w:num>
  <w:num w:numId="7">
    <w:abstractNumId w:val="528938"/>
  </w:num>
  <w:num w:numId="8">
    <w:abstractNumId w:val="528939"/>
  </w:num>
  <w:num w:numId="9">
    <w:abstractNumId w:val="528940"/>
  </w:num>
  <w:num w:numId="10">
    <w:abstractNumId w:val="528941"/>
  </w:num>
  <w:num w:numId="11">
    <w:abstractNumId w:val="528942"/>
  </w:num>
  <w:num w:numId="12">
    <w:abstractNumId w:val="528943"/>
  </w:num>
  <w:num w:numId="13">
    <w:abstractNumId w:val="528944"/>
  </w:num>
  <w:num w:numId="14">
    <w:abstractNumId w:val="528945"/>
  </w:num>
  <w:num w:numId="15">
    <w:abstractNumId w:val="528946"/>
  </w:num>
  <w:num w:numId="16">
    <w:abstractNumId w:val="528947"/>
  </w:num>
  <w:num w:numId="17">
    <w:abstractNumId w:val="528948"/>
  </w:num>
  <w:num w:numId="18">
    <w:abstractNumId w:val="528949"/>
  </w:num>
  <w:num w:numId="19">
    <w:abstractNumId w:val="528950"/>
  </w:num>
  <w:num w:numId="20">
    <w:abstractNumId w:val="528951"/>
  </w:num>
  <w:num w:numId="21">
    <w:abstractNumId w:val="528952"/>
  </w:num>
  <w:num w:numId="22">
    <w:abstractNumId w:val="528953"/>
  </w:num>
  <w:num w:numId="23">
    <w:abstractNumId w:val="528954"/>
  </w:num>
  <w:num w:numId="24">
    <w:abstractNumId w:val="528955"/>
  </w:num>
  <w:num w:numId="25">
    <w:abstractNumId w:val="528956"/>
  </w:num>
  <w:num w:numId="26">
    <w:abstractNumId w:val="528957"/>
  </w:num>
  <w:num w:numId="27">
    <w:abstractNumId w:val="528958"/>
  </w:num>
  <w:num w:numId="28">
    <w:abstractNumId w:val="528959"/>
  </w:num>
  <w:num w:numId="29">
    <w:abstractNumId w:val="528960"/>
  </w:num>
  <w:num w:numId="30">
    <w:abstractNumId w:val="528961"/>
  </w:num>
  <w:num w:numId="31">
    <w:abstractNumId w:val="528962"/>
  </w:num>
  <w:num w:numId="32">
    <w:abstractNumId w:val="528963"/>
  </w:num>
  <w:num w:numId="33">
    <w:abstractNumId w:val="528964"/>
  </w:num>
  <w:num w:numId="34">
    <w:abstractNumId w:val="528965"/>
  </w:num>
  <w:num w:numId="35">
    <w:abstractNumId w:val="528966"/>
  </w:num>
  <w:num w:numId="36">
    <w:abstractNumId w:val="528967"/>
  </w:num>
  <w:num w:numId="37">
    <w:abstractNumId w:val="528968"/>
  </w:num>
  <w:num w:numId="38">
    <w:abstractNumId w:val="528969"/>
  </w:num>
  <w:num w:numId="39">
    <w:abstractNumId w:val="528970"/>
  </w:num>
  <w:num w:numId="40">
    <w:abstractNumId w:val="528971"/>
  </w:num>
  <w:num w:numId="41">
    <w:abstractNumId w:val="528972"/>
  </w:num>
  <w:num w:numId="42">
    <w:abstractNumId w:val="528973"/>
  </w:num>
  <w:num w:numId="43">
    <w:abstractNumId w:val="528974"/>
  </w:num>
  <w:num w:numId="44">
    <w:abstractNumId w:val="528975"/>
  </w:num>
  <w:num w:numId="45">
    <w:abstractNumId w:val="528976"/>
  </w:num>
  <w:num w:numId="46">
    <w:abstractNumId w:val="528977"/>
  </w:num>
  <w:num w:numId="47">
    <w:abstractNumId w:val="528978"/>
  </w:num>
  <w:num w:numId="48">
    <w:abstractNumId w:val="528979"/>
  </w:num>
  <w:num w:numId="49">
    <w:abstractNumId w:val="528980"/>
  </w:num>
  <w:num w:numId="50">
    <w:abstractNumId w:val="528981"/>
  </w:num>
  <w:num w:numId="51">
    <w:abstractNumId w:val="528982"/>
  </w:num>
  <w:num w:numId="52">
    <w:abstractNumId w:val="528983"/>
  </w:num>
  <w:num w:numId="53">
    <w:abstractNumId w:val="528984"/>
  </w:num>
  <w:num w:numId="54">
    <w:abstractNumId w:val="528985"/>
  </w:num>
  <w:num w:numId="55">
    <w:abstractNumId w:val="528986"/>
  </w:num>
  <w:num w:numId="56">
    <w:abstractNumId w:val="528987"/>
  </w:num>
  <w:num w:numId="57">
    <w:abstractNumId w:val="528988"/>
  </w:num>
  <w:num w:numId="58">
    <w:abstractNumId w:val="528989"/>
  </w:num>
  <w:num w:numId="59">
    <w:abstractNumId w:val="52899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2026-03-28T09:59:24Z</dcterms:created>
  <dc:creator>Apache POI</dc:creator>
</cp:coreProperties>
</file>