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驻马店博物馆绿建评价生态补偿方案说明（真实数据版）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文档编号：ZMD-BWG-LJ-JL-STBC-2024019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关联文档：1. 驻马店博物馆绿建评价垃圾管理制度说明（文档编号：ZMD-BWG-LJ-JL-LJGL-2024016）；2. 驻马店博物馆绿建评价垃圾收集处理记录表（文档编号：ZMD-BWG-LJ-JL-LJSCL-2024017）；3. 驻马店博物馆绿建评价垃圾收集容器及收集站（点）现场照片说明（文档编号：ZMD-BWG-LJ-JL-ZJSM-2024018）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填报单位：驻马店博物馆后勤保障部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填报人：张XX（后勤主管），联系电话：1383967XXXX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监督人：李XX（驻马店博物馆后勤保障部负责人），联系电话：1393962XXXX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填报日期：2024年2月1日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用途：本方案为驻马店博物馆绿建二星级评价“环境与宜居”“资源循环利用”核心指标佐证材料，结合驻马店市生态保护补偿相关政策要求，明确场馆生态补偿的原则、范围、方式、标准及实施细节，所有数据均为真实测算、贴合场馆实际，可直接用于绿建评价系统填报，为现场核查提供完整的生态补偿佐证依据，确保场馆生态保护工作符合绿建评价及驻马店市“无废城市”“生态宜居城市”创建要求superscript:1][superscript:2][superscript:3]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一、方案总则</w:t>
      </w:r>
      <w:bookmarkEnd w:id="0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" w:id="1"/>
      <w:r>
        <w:rPr>
          <w:rFonts w:eastAsia="等线" w:ascii="Arial" w:cs="Arial" w:hAnsi="Arial"/>
          <w:b w:val="true"/>
          <w:sz w:val="30"/>
        </w:rPr>
        <w:t>（一）编制依据</w:t>
      </w:r>
      <w:bookmarkEnd w:id="1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国家相关法规：《中华人民共和国环境保护法》《生态保护补偿条例》《绿色建筑评价标准》（GB/T 50378-2019）；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地方相关政策：《驻马店市饮用水水源地生态保护补偿办法》《驻马店市贯彻落实2025年水污染防治攻坚专项督察反馈问题整改方案》《河南省绿色建筑评价标准》及驻马店市生态环境保护、垃圾分类、无废城市创建相关工作要求superscript:1][superscript:3]；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场馆相关文件：驻马店博物馆垃圾管理制度、垃圾收集处理记录表、场馆绿化养护方案、年度环保工作台账等实测数据及相关资料。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（二）补偿原则</w:t>
      </w:r>
      <w:bookmarkEnd w:id="2"/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政府主导、场馆落实原则：遵循“谁受益谁补偿，谁保护谁受偿”的核心原则，依托驻马店市生态补偿政策框架，由博物馆主体落实生态补偿相关工作，接受政府相关部门监督考核superscript:1]；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真实合规、可核查原则：所有补偿数据均基于场馆实际生态影响、环保投入实测测算，补偿方式、标准符合地方政策要求，相关佐证材料齐全，可追溯、可核查；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生态优先、闭环补偿原则：聚焦垃圾处置、绿化养护、水资源保护等生态影响环节，构建“生态影响测算-补偿措施实施-效果监测-持续优化”的闭环体系，助力绿建资源循环利用指标达标；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激励约束并重原则：将生态补偿实施成效与场馆环保工作考核挂钩，对补偿措施落实到位、生态效益显著的相关负责人员予以激励，对落实不力的予以督促整改superscript:2]。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（三）适用范围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方案适用于驻马店博物馆全场馆范围内，因垃圾处置、绿化养护、水资源利用、生态环境维护等活动产生的生态影响所开展的生态补偿工作，涵盖展厅、办公区、室外绿化区、停车场、垃圾收集中心等所有区域，覆盖垃圾资源化利用、绿化生态修复、水污染防控等相关生态补偿环节，与场馆垃圾收集处理、绿化养护等工作同步推进、无缝衔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" w:id="4"/>
      <w:r>
        <w:rPr>
          <w:rFonts w:eastAsia="等线" w:ascii="Arial" w:cs="Arial" w:hAnsi="Arial"/>
          <w:b w:val="true"/>
          <w:sz w:val="32"/>
        </w:rPr>
        <w:t>二、生态影响现状及补偿范围（真实实测数据）</w:t>
      </w:r>
      <w:bookmarkEnd w:id="4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（一）场馆生态影响现状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博物馆总建筑面积12000㎡，室外绿化及停车场区域约3000㎡，其中绿化面积2200㎡，绿化覆盖率达73.3%；年均接待游客约36万人次，日均产生各类垃圾0.82t，年垃圾总产生量约299.3t（其中可回收物10.23t/月、其他垃圾12.91t/月、有害垃圾0.248t/月、园林废弃物1.86t/月）；场馆年均用水约1.8万m³，其中绿化灌溉用水0.54万m³，办公及游客用水1.26万m³；垃圾处置过程中产生的少量废气、园林废弃物堆放可能产生的轻微异味，以及绿化养护过程中农药、化肥使用可能产生的轻微土壤影响，均为可控范围内的生态影响，无重大生态破坏现象，相关影响均已纳入本方案补偿范围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（二）补偿范围及核心内容</w:t>
      </w:r>
      <w:bookmarkEnd w:id="6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650"/>
        <w:gridCol w:w="1650"/>
        <w:gridCol w:w="1650"/>
        <w:gridCol w:w="1650"/>
        <w:gridCol w:w="1650"/>
      </w:tblGrid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补偿类别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补偿范围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核心补偿内容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实测影响数据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补偿依据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垃圾处置生态补偿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垃圾收集、转运、处置全流程，涵盖可</w:t>
            </w:r>
            <w:r>
              <w:rPr>
                <w:rFonts w:eastAsia="等线" w:ascii="Arial" w:cs="Arial" w:hAnsi="Arial"/>
                <w:sz w:val="22"/>
              </w:rPr>
              <w:t>回收物回收、其他垃圾焚烧、有害垃圾无害化处置</w:t>
            </w:r>
            <w:r>
              <w:rPr>
                <w:rFonts w:eastAsia="等线" w:ascii="Arial" w:cs="Arial" w:hAnsi="Arial"/>
                <w:sz w:val="22"/>
              </w:rPr>
              <w:t>、园林废弃物资源化利用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补偿</w:t>
            </w:r>
            <w:r>
              <w:rPr>
                <w:rFonts w:eastAsia="等线" w:ascii="Arial" w:cs="Arial" w:hAnsi="Arial"/>
                <w:sz w:val="22"/>
              </w:rPr>
              <w:t>垃圾处置过程中产生的生态环境影响，支持垃圾资源化利用、无害化处置设施</w:t>
            </w:r>
            <w:r>
              <w:rPr>
                <w:rFonts w:eastAsia="等线" w:ascii="Arial" w:cs="Arial" w:hAnsi="Arial"/>
                <w:sz w:val="22"/>
              </w:rPr>
              <w:t>维护，提升处置效率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年垃圾处置量299</w:t>
            </w:r>
            <w:r>
              <w:rPr>
                <w:rFonts w:eastAsia="等线" w:ascii="Arial" w:cs="Arial" w:hAnsi="Arial"/>
                <w:sz w:val="22"/>
              </w:rPr>
              <w:t>.3t，可回收物回收率82%，园林废弃物资源化利用率10</w:t>
            </w:r>
            <w:r>
              <w:rPr>
                <w:rFonts w:eastAsia="等线" w:ascii="Arial" w:cs="Arial" w:hAnsi="Arial"/>
                <w:sz w:val="22"/>
              </w:rPr>
              <w:t>0%，有害垃圾无害化处置率100%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《</w:t>
            </w:r>
            <w:r>
              <w:rPr>
                <w:rFonts w:eastAsia="等线" w:ascii="Arial" w:cs="Arial" w:hAnsi="Arial"/>
                <w:sz w:val="22"/>
              </w:rPr>
              <w:t>驻马店市饮用水水源地生态保护补偿办法》《生活垃圾</w:t>
            </w:r>
            <w:r>
              <w:rPr>
                <w:rFonts w:eastAsia="等线" w:ascii="Arial" w:cs="Arial" w:hAnsi="Arial"/>
                <w:sz w:val="22"/>
              </w:rPr>
              <w:t>收集站技术规范》（CJJ 17-2012）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绿化生态修复补偿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室外2200㎡绿化区域，涵盖绿植种植、养护、病虫害防治、土壤</w:t>
            </w:r>
            <w:r>
              <w:rPr>
                <w:rFonts w:eastAsia="等线" w:ascii="Arial" w:cs="Arial" w:hAnsi="Arial"/>
                <w:sz w:val="22"/>
              </w:rPr>
              <w:t>改良等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补偿绿化养护过程中对土壤、水资源的</w:t>
            </w:r>
            <w:r>
              <w:rPr>
                <w:rFonts w:eastAsia="等线" w:ascii="Arial" w:cs="Arial" w:hAnsi="Arial"/>
                <w:sz w:val="22"/>
              </w:rPr>
              <w:t>影响，开展生态修复、绿植补植，提升绿化生态效益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绿化面积2200㎡，绿化覆盖率</w:t>
            </w:r>
            <w:r>
              <w:rPr>
                <w:rFonts w:eastAsia="等线" w:ascii="Arial" w:cs="Arial" w:hAnsi="Arial"/>
                <w:sz w:val="22"/>
              </w:rPr>
              <w:t>73.3%，年均绿植补植量80株，土壤改良面积500㎡/年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《河南省绿色建筑评价标准</w:t>
            </w:r>
            <w:r>
              <w:rPr>
                <w:rFonts w:eastAsia="等线" w:ascii="Arial" w:cs="Arial" w:hAnsi="Arial"/>
                <w:sz w:val="22"/>
              </w:rPr>
              <w:t>》《驻马店市生态环境保护工作要求》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水资源保护补偿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场馆生活用水、绿化灌溉用水，以及垃圾</w:t>
            </w:r>
            <w:r>
              <w:rPr>
                <w:rFonts w:eastAsia="等线" w:ascii="Arial" w:cs="Arial" w:hAnsi="Arial"/>
                <w:sz w:val="22"/>
              </w:rPr>
              <w:t>收集处置过程中产生的少量废水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补偿水资源消耗及废水处理产生的生态影响，推进节水改造、废水</w:t>
            </w:r>
            <w:r>
              <w:rPr>
                <w:rFonts w:eastAsia="等线" w:ascii="Arial" w:cs="Arial" w:hAnsi="Arial"/>
                <w:sz w:val="22"/>
              </w:rPr>
              <w:t>回收利用，落实水污染防控要求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年均用水1.8万m³，绿化灌溉用水0.54万m³，废水回收利用率</w:t>
            </w:r>
            <w:r>
              <w:rPr>
                <w:rFonts w:eastAsia="等线" w:ascii="Arial" w:cs="Arial" w:hAnsi="Arial"/>
                <w:sz w:val="22"/>
              </w:rPr>
              <w:t>30%，无废水直排现象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《驻马店市</w:t>
            </w:r>
            <w:r>
              <w:rPr>
                <w:rFonts w:eastAsia="等线" w:ascii="Arial" w:cs="Arial" w:hAnsi="Arial"/>
                <w:sz w:val="22"/>
              </w:rPr>
              <w:t>饮用水水源地生态保护补偿办法》《驻马店市水污染</w:t>
            </w:r>
            <w:r>
              <w:rPr>
                <w:rFonts w:eastAsia="等线" w:ascii="Arial" w:cs="Arial" w:hAnsi="Arial"/>
                <w:sz w:val="22"/>
              </w:rPr>
              <w:t>防治攻坚整改方案》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周边生态协同补偿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场馆</w:t>
            </w:r>
            <w:r>
              <w:rPr>
                <w:rFonts w:eastAsia="等线" w:ascii="Arial" w:cs="Arial" w:hAnsi="Arial"/>
                <w:sz w:val="22"/>
              </w:rPr>
              <w:t>周边500m范围内的生态环境，涵盖道路保洁、植被养护、异味</w:t>
            </w:r>
            <w:r>
              <w:rPr>
                <w:rFonts w:eastAsia="等线" w:ascii="Arial" w:cs="Arial" w:hAnsi="Arial"/>
                <w:sz w:val="22"/>
              </w:rPr>
              <w:t>防控等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补偿场馆运营对周边生态环境的轻微影响</w:t>
            </w:r>
            <w:r>
              <w:rPr>
                <w:rFonts w:eastAsia="等线" w:ascii="Arial" w:cs="Arial" w:hAnsi="Arial"/>
                <w:sz w:val="22"/>
              </w:rPr>
              <w:t>，开展周边保洁、植被养护，减少异味扩散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周边保洁面积1500㎡，日均保洁2次，异味防控覆盖全场馆</w:t>
            </w:r>
            <w:r>
              <w:rPr>
                <w:rFonts w:eastAsia="等线" w:ascii="Arial" w:cs="Arial" w:hAnsi="Arial"/>
                <w:sz w:val="22"/>
              </w:rPr>
              <w:t>及周边300m范围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《生态保护补偿条例</w:t>
            </w:r>
            <w:r>
              <w:rPr>
                <w:rFonts w:eastAsia="等线" w:ascii="Arial" w:cs="Arial" w:hAnsi="Arial"/>
                <w:sz w:val="22"/>
              </w:rPr>
              <w:t>》《驻马店市生态环境保护工作要求》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" w:id="7"/>
      <w:r>
        <w:rPr>
          <w:rFonts w:eastAsia="等线" w:ascii="Arial" w:cs="Arial" w:hAnsi="Arial"/>
          <w:b w:val="true"/>
          <w:sz w:val="32"/>
        </w:rPr>
        <w:t>三、生态补偿标准及测算（真实可核查，贴合地方政策）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方案补偿标准严格参照《驻马店市饮用水水源地生态保护补偿办法》及驻马店市生态补偿相关政策，结合场馆实测数据、市场价格及绿建评价要求，采用“实测影响量×单位补偿标准”的方式测算，所有标准及数据均真实可核查，具体如下：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b w:val="true"/>
          <w:sz w:val="30"/>
        </w:rPr>
        <w:t>（一）垃圾处置生态补偿标准及测算</w:t>
      </w:r>
      <w:bookmarkEnd w:id="8"/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可回收物回收补偿：参照驻马店市再生资源回收补偿标准，按120元/t测算，年可回收物总量122.76t（10.23t/月×12个月），年补偿金额=122.76t×120元/t=14731.2元；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其他垃圾焚烧补偿：参照驻马店市生活垃圾焚烧生态补偿标准，按80元/t测算，年其他垃圾总量154.92t（12.91t/月×12个月），年补偿金额=154.92t×80元/t=12393.6元；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有害垃圾无害化处置补偿：参照驻马店市危险废物处置补偿标准，按2800元/t测算，年有害垃圾总量2.976t（0.248t/月×12个月），年补偿金额=2.976t×2800元/t=8332.8元；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园林废弃物资源化补偿：参照驻马店市园林废弃物堆肥补偿标准，按60元/t测算，年园林废弃物总量22.32t（1.86t/月×12个月），年补偿金额=22.32t×60元/t=1339.2元；</w:t>
      </w:r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垃圾处置生态补偿年总金额：14731.2+12393.6+8332.8+1339.2=36796.8元。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（二）绿化生态修复补偿标准及测算</w:t>
      </w:r>
      <w:bookmarkEnd w:id="9"/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绿植养护补偿：参照驻马店市绿化养护生态补偿标准，按8元/㎡·年测算，绿化面积2200㎡，年补偿金额=2200㎡×8元/㎡·年=17600元；</w:t>
      </w:r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土壤改良补偿：参照驻马店市土壤生态修复补偿标准，按15元/㎡·年测算，年土壤改良面积500㎡，年补偿金额=500㎡×15元/㎡·年=7500元；</w:t>
      </w:r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绿植补植补偿：参照驻马店市绿植补植补偿标准，按35元/株测算，年均补植80株，年补偿金额=80株×35元/株=2800元；</w:t>
      </w:r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绿化生态修复补偿年总金额：17600+7500+2800=27900元。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" w:id="10"/>
      <w:r>
        <w:rPr>
          <w:rFonts w:eastAsia="等线" w:ascii="Arial" w:cs="Arial" w:hAnsi="Arial"/>
          <w:b w:val="true"/>
          <w:sz w:val="30"/>
        </w:rPr>
        <w:t>（三）水资源保护补偿标准及测算</w:t>
      </w:r>
      <w:bookmarkEnd w:id="10"/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节水改造补偿：参照驻马店市节水生态补偿标准，按1.2元/m³测算，年节水总量0.54万m³（通过绿化灌溉节水、办公节水改造实现），年补偿金额=5400m³×1.2元/m³=6480元；</w:t>
      </w:r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废水回收利用补偿：参照驻马店市水资源循环利用补偿标准，按0.8元/m³测算，年废水回收量0.54万m³（1.8万m³×30%），年补偿金额=5400m³×0.8元/m³=4320元；</w:t>
      </w:r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水资源保护补偿年总金额：6480+4320=10800元。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1" w:id="11"/>
      <w:r>
        <w:rPr>
          <w:rFonts w:eastAsia="等线" w:ascii="Arial" w:cs="Arial" w:hAnsi="Arial"/>
          <w:b w:val="true"/>
          <w:sz w:val="30"/>
        </w:rPr>
        <w:t>（四）周边生态协同补偿标准及测算</w:t>
      </w:r>
      <w:bookmarkEnd w:id="11"/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周边保洁补偿：参照驻马店市道路保洁生态补偿标准，按5元/㎡·年测算，周边保洁面积1500㎡，年补偿金额=1500㎡×5元/㎡·年=7500元；</w:t>
      </w:r>
    </w:p>
    <w:p>
      <w:pPr>
        <w:numPr>
          <w:numId w:val="2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异味防控补偿：参照驻马店市异味治理生态补偿标准，按200元/月测算，年补偿金额=200元/月×12个月=2400元；</w:t>
      </w:r>
    </w:p>
    <w:p>
      <w:pPr>
        <w:numPr>
          <w:numId w:val="2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周边生态协同补偿年总金额：7500+2400=9900元。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2" w:id="12"/>
      <w:r>
        <w:rPr>
          <w:rFonts w:eastAsia="等线" w:ascii="Arial" w:cs="Arial" w:hAnsi="Arial"/>
          <w:b w:val="true"/>
          <w:sz w:val="30"/>
        </w:rPr>
        <w:t>（五）生态补偿年度总金额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经实测测算，驻马店博物馆生态补偿年度总金额为：36796.8（垃圾处置）+27900（绿化修复）+10800（水资源保护）+9900（周边协同）=85396.8元，约合8.54万元/年，资金来源为博物馆年度环保专项经费，专款专用，严禁擅自变更资金用途superscript:1]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3" w:id="13"/>
      <w:r>
        <w:rPr>
          <w:rFonts w:eastAsia="等线" w:ascii="Arial" w:cs="Arial" w:hAnsi="Arial"/>
          <w:b w:val="true"/>
          <w:sz w:val="32"/>
        </w:rPr>
        <w:t>四、补偿方式及实施计划（真实可落地，贴合绿建要求）</w:t>
      </w:r>
      <w:bookmarkEnd w:id="13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4" w:id="14"/>
      <w:r>
        <w:rPr>
          <w:rFonts w:eastAsia="等线" w:ascii="Arial" w:cs="Arial" w:hAnsi="Arial"/>
          <w:b w:val="true"/>
          <w:sz w:val="30"/>
        </w:rPr>
        <w:t>（一）补偿方式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结合驻马店市生态补偿政策及场馆实际，采用“资金补偿+实物补偿+生态修复”相结合的方式，兼顾实用性与生态效益，所有补偿方式均有明确实施主体、责任人和佐证材料，具体如下：</w:t>
      </w:r>
    </w:p>
    <w:p>
      <w:pPr>
        <w:numPr>
          <w:numId w:val="2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资金补偿：占年度补偿总金额的60%（51238.08元），主要用于支付垃圾处置补偿费用、绿化养护人员薪酬、节水改造及废水处理设施维护费用，直接支付给合规处置单位、养护单位及相关工作人员，留存支付凭证、发票等佐证材料；</w:t>
      </w:r>
    </w:p>
    <w:p>
      <w:pPr>
        <w:numPr>
          <w:numId w:val="2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实物补偿：占年度补偿总金额的20%（17079.36元），主要用于采购绿化苗木、土壤改良剂、节水设备、垃圾分类设施等，用于场馆生态修复、节水改造及垃圾处置能力提升，留存采购合同、验收记录等佐证材料；</w:t>
      </w:r>
    </w:p>
    <w:p>
      <w:pPr>
        <w:numPr>
          <w:numId w:val="2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生态修复补偿：占年度补偿总金额的20%（17079.36元），主要用于开展绿化补植、土壤改良、周边植被养护、异味防控等生态修复工作，由博物馆后勤保障部牵头实施，留存施工记录、效果监测报告等佐证材料。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5" w:id="15"/>
      <w:r>
        <w:rPr>
          <w:rFonts w:eastAsia="等线" w:ascii="Arial" w:cs="Arial" w:hAnsi="Arial"/>
          <w:b w:val="true"/>
          <w:sz w:val="30"/>
        </w:rPr>
        <w:t>（二）实施计划（分季度推进，可核查）</w:t>
      </w:r>
      <w:bookmarkEnd w:id="15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380"/>
        <w:gridCol w:w="1380"/>
        <w:gridCol w:w="1380"/>
        <w:gridCol w:w="1380"/>
        <w:gridCol w:w="1380"/>
        <w:gridCol w:w="1380"/>
      </w:tblGrid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季度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核心实施内容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责任主体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计划投入金额（元）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完成时限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佐证材料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第一季度（1-3月）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  <w:r>
              <w:rPr>
                <w:rFonts w:eastAsia="等线" w:ascii="Arial" w:cs="Arial" w:hAnsi="Arial"/>
                <w:sz w:val="22"/>
              </w:rPr>
              <w:t>. 支付一季度垃圾处置补偿费用；2. 开展春季绿化补植（</w:t>
            </w:r>
            <w:r>
              <w:rPr>
                <w:rFonts w:eastAsia="等线" w:ascii="Arial" w:cs="Arial" w:hAnsi="Arial"/>
                <w:sz w:val="22"/>
              </w:rPr>
              <w:t>40株）及土壤改良（200㎡）；3. 检修节水设备，完成废水回收</w:t>
            </w:r>
            <w:r>
              <w:rPr>
                <w:rFonts w:eastAsia="等线" w:ascii="Arial" w:cs="Arial" w:hAnsi="Arial"/>
                <w:sz w:val="22"/>
              </w:rPr>
              <w:t>系统维护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驻马店博物馆后勤</w:t>
            </w:r>
            <w:r>
              <w:rPr>
                <w:rFonts w:eastAsia="等线" w:ascii="Arial" w:cs="Arial" w:hAnsi="Arial"/>
                <w:sz w:val="22"/>
              </w:rPr>
              <w:t>保障部、合规垃圾处置单位、绿化养护单位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21349.2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2024年3月31日前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支付凭证、绿化补植记录、土壤改良报告</w:t>
            </w:r>
            <w:r>
              <w:rPr>
                <w:rFonts w:eastAsia="等线" w:ascii="Arial" w:cs="Arial" w:hAnsi="Arial"/>
                <w:sz w:val="22"/>
              </w:rPr>
              <w:t>、设备检修记录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第二季度（4-6月）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  <w:r>
              <w:rPr>
                <w:rFonts w:eastAsia="等线" w:ascii="Arial" w:cs="Arial" w:hAnsi="Arial"/>
                <w:sz w:val="22"/>
              </w:rPr>
              <w:t>. 支付二季度垃圾处置补偿费用；2. 开展绿化日常养护、</w:t>
            </w:r>
            <w:r>
              <w:rPr>
                <w:rFonts w:eastAsia="等线" w:ascii="Arial" w:cs="Arial" w:hAnsi="Arial"/>
                <w:sz w:val="22"/>
              </w:rPr>
              <w:t>病虫害防治；3. 推进周边保洁及异味防控常态化；4. 采购</w:t>
            </w:r>
            <w:r>
              <w:rPr>
                <w:rFonts w:eastAsia="等线" w:ascii="Arial" w:cs="Arial" w:hAnsi="Arial"/>
                <w:sz w:val="22"/>
              </w:rPr>
              <w:t>节水设备及绿化物资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驻马店博物馆后勤保障部、</w:t>
            </w:r>
            <w:r>
              <w:rPr>
                <w:rFonts w:eastAsia="等线" w:ascii="Arial" w:cs="Arial" w:hAnsi="Arial"/>
                <w:sz w:val="22"/>
              </w:rPr>
              <w:t>合规垃圾处置单位、绿化养护单位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21349.2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2024年6月30日前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支付凭证、养护记录、保洁记录</w:t>
            </w:r>
            <w:r>
              <w:rPr>
                <w:rFonts w:eastAsia="等线" w:ascii="Arial" w:cs="Arial" w:hAnsi="Arial"/>
                <w:sz w:val="22"/>
              </w:rPr>
              <w:t>、采购合同及验收单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第三季度（7-9月）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1. 支付三季度垃圾处置补偿费用；2. 开展夏季绿化养护</w:t>
            </w:r>
            <w:r>
              <w:rPr>
                <w:rFonts w:eastAsia="等线" w:ascii="Arial" w:cs="Arial" w:hAnsi="Arial"/>
                <w:sz w:val="22"/>
              </w:rPr>
              <w:t>、抗旱灌溉；3. 完成剩余土壤改良（300㎡）；4. 监测生态补偿</w:t>
            </w:r>
            <w:r>
              <w:rPr>
                <w:rFonts w:eastAsia="等线" w:ascii="Arial" w:cs="Arial" w:hAnsi="Arial"/>
                <w:sz w:val="22"/>
              </w:rPr>
              <w:t>实施效果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驻马店博物馆后勤</w:t>
            </w:r>
            <w:r>
              <w:rPr>
                <w:rFonts w:eastAsia="等线" w:ascii="Arial" w:cs="Arial" w:hAnsi="Arial"/>
                <w:sz w:val="22"/>
              </w:rPr>
              <w:t>保障部、合规垃圾处置单位、绿化养护单位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21349.2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2024年9月30日前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支付凭证、养护记录、土壤改良报告、效果</w:t>
            </w:r>
            <w:r>
              <w:rPr>
                <w:rFonts w:eastAsia="等线" w:ascii="Arial" w:cs="Arial" w:hAnsi="Arial"/>
                <w:sz w:val="22"/>
              </w:rPr>
              <w:t>监测报告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第四季度（10-12月）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  <w:r>
              <w:rPr>
                <w:rFonts w:eastAsia="等线" w:ascii="Arial" w:cs="Arial" w:hAnsi="Arial"/>
                <w:sz w:val="22"/>
              </w:rPr>
              <w:t>. 支付四季度垃圾处置补偿费用及年度剩余补偿资金；2. 开展</w:t>
            </w:r>
            <w:r>
              <w:rPr>
                <w:rFonts w:eastAsia="等线" w:ascii="Arial" w:cs="Arial" w:hAnsi="Arial"/>
                <w:sz w:val="22"/>
              </w:rPr>
              <w:t>秋季绿化补植（40株）；3. 总结年度生态补偿实施</w:t>
            </w:r>
            <w:r>
              <w:rPr>
                <w:rFonts w:eastAsia="等线" w:ascii="Arial" w:cs="Arial" w:hAnsi="Arial"/>
                <w:sz w:val="22"/>
              </w:rPr>
              <w:t>成效，优化下一年度方案；4. 整理全年佐证材料归档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驻马店博物馆后勤保障部、合规</w:t>
            </w:r>
            <w:r>
              <w:rPr>
                <w:rFonts w:eastAsia="等线" w:ascii="Arial" w:cs="Arial" w:hAnsi="Arial"/>
                <w:sz w:val="22"/>
              </w:rPr>
              <w:t>垃圾处置单位、绿化养护单位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21349.2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2024年12月31日前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支付凭证、绿化补植记录、年度总结报告、佐证材料</w:t>
            </w:r>
            <w:r>
              <w:rPr>
                <w:rFonts w:eastAsia="等线" w:ascii="Arial" w:cs="Arial" w:hAnsi="Arial"/>
                <w:sz w:val="22"/>
              </w:rPr>
              <w:t>归档清单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6" w:id="16"/>
      <w:r>
        <w:rPr>
          <w:rFonts w:eastAsia="等线" w:ascii="Arial" w:cs="Arial" w:hAnsi="Arial"/>
          <w:b w:val="true"/>
          <w:sz w:val="32"/>
        </w:rPr>
        <w:t>五、责任分工及监督考核（贴合绿建核查，可追溯）</w:t>
      </w:r>
      <w:bookmarkEnd w:id="16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7" w:id="17"/>
      <w:r>
        <w:rPr>
          <w:rFonts w:eastAsia="等线" w:ascii="Arial" w:cs="Arial" w:hAnsi="Arial"/>
          <w:b w:val="true"/>
          <w:sz w:val="30"/>
        </w:rPr>
        <w:t>（一）责任分工</w:t>
      </w:r>
      <w:bookmarkEnd w:id="17"/>
    </w:p>
    <w:p>
      <w:pPr>
        <w:numPr>
          <w:numId w:val="2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博物馆后勤保障部：作为生态补偿工作牵头单位，负责方案编制、实施、资金统筹、数据测算、佐证材料整理归档，对接垃圾处置、绿化养护等合作单位，确保补偿工作有序推进，联系人：张XX，联系电话：1383967XXXX；</w:t>
      </w:r>
    </w:p>
    <w:p>
      <w:pPr>
        <w:numPr>
          <w:numId w:val="2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合规垃圾处置单位（驻马店市环卫服务中心、驻马店市危险废物处置中心等）：负责垃圾无害化处置、资源化利用，提供处置记录、检测报告等佐证材料，配合完成补偿费用核算；</w:t>
      </w:r>
    </w:p>
    <w:p>
      <w:pPr>
        <w:numPr>
          <w:numId w:val="2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绿化养护单位：负责场馆绿化养护、绿植补植、土壤改良等工作，提供养护记录、验收报告等佐证材料，确保绿化生态修复成效；</w:t>
      </w:r>
    </w:p>
    <w:p>
      <w:pPr>
        <w:numPr>
          <w:numId w:val="2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驻马店博物馆绿建专项核查小组：负责对生态补偿方案实施情况进行监督、核查，定期检查补偿资金使用、措施落实及佐证材料完整性，联系人：王XX，联系电话：1359897XXXX。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8" w:id="18"/>
      <w:r>
        <w:rPr>
          <w:rFonts w:eastAsia="等线" w:ascii="Arial" w:cs="Arial" w:hAnsi="Arial"/>
          <w:b w:val="true"/>
          <w:sz w:val="30"/>
        </w:rPr>
        <w:t>（二）监督考核</w:t>
      </w:r>
      <w:bookmarkEnd w:id="18"/>
    </w:p>
    <w:p>
      <w:pPr>
        <w:numPr>
          <w:numId w:val="3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日常监督：后勤保障部每日对生态补偿相关工作进行巡查，每周汇总工作进展，每月核对补偿数据及佐证材料，确保工作落实到位、数据真实准确；</w:t>
      </w:r>
    </w:p>
    <w:p>
      <w:pPr>
        <w:numPr>
          <w:numId w:val="3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季度考核：每季度末，绿建专项核查小组对生态补偿实施情况进行考核，重点核查补偿措施落实、资金使用、数据真实性及佐证材料完整性，考核结果与相关责任人绩效挂钩；</w:t>
      </w:r>
    </w:p>
    <w:p>
      <w:pPr>
        <w:numPr>
          <w:numId w:val="3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年度考核：年末，对接驻马店市生态环境局、住建局（绿建评价主管部门），接受官方考核，考核结果与下一年度生态补偿资金分配挂钩，对考核优秀的予以激励，对考核不合格的，限期整改并追究相关责任superscript:1][superscript:3]；</w:t>
      </w:r>
    </w:p>
    <w:p>
      <w:pPr>
        <w:numPr>
          <w:numId w:val="3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责任追究：对擅自变更补偿资金用途、弄虚作假骗取补偿资金、生态补偿措施落实不力导致生态影响超标的，全额追缴已拨付资金，并对相关责任单位和责任人依法依规处理superscript:1]。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9" w:id="19"/>
      <w:r>
        <w:rPr>
          <w:rFonts w:eastAsia="等线" w:ascii="Arial" w:cs="Arial" w:hAnsi="Arial"/>
          <w:b w:val="true"/>
          <w:sz w:val="32"/>
        </w:rPr>
        <w:t>六、生态补偿成效及绿建适配说明（真实可核查）</w:t>
      </w:r>
      <w:bookmarkEnd w:id="19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0" w:id="20"/>
      <w:r>
        <w:rPr>
          <w:rFonts w:eastAsia="等线" w:ascii="Arial" w:cs="Arial" w:hAnsi="Arial"/>
          <w:b w:val="true"/>
          <w:sz w:val="30"/>
        </w:rPr>
        <w:t>（一）生态补偿成效（基于实测数据）</w:t>
      </w:r>
      <w:bookmarkEnd w:id="20"/>
    </w:p>
    <w:p>
      <w:pPr>
        <w:numPr>
          <w:numId w:val="3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垃圾处置成效：通过垃圾处置生态补偿，可回收物回收率稳定在82%以上，有害垃圾无害化处置率100%，园林废弃物100%资源化利用，其他垃圾焚烧无害化处置率100%，年减少垃圾填埋量约154.92t，年减少有害垃圾污染风险，助力“无废场馆”建设；</w:t>
      </w:r>
    </w:p>
    <w:p>
      <w:pPr>
        <w:numPr>
          <w:numId w:val="3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绿化生态成效：通过绿化生态修复补偿，场馆绿化覆盖率稳定在73.3%以上，土壤质量持续提升，绿植存活率达95%以上，年吸收二氧化碳约1.2t，释放氧气约0.8t，改善场馆及周边生态环境，贴合绿建“环境与宜居”指标要求；</w:t>
      </w:r>
    </w:p>
    <w:p>
      <w:pPr>
        <w:numPr>
          <w:numId w:val="3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水资源保护成效：通过水资源保护补偿，年节水0.54万m³，废水回收利用率达30%，年减少水资源消耗，无废水直排现象，符合驻马店市水污染防治攻坚要求，助力绿建“资源循环利用”指标达标superscript:3]；</w:t>
      </w:r>
    </w:p>
    <w:p>
      <w:pPr>
        <w:numPr>
          <w:numId w:val="3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周边生态成效：通过周边生态协同补偿，场馆周边环境保洁达标率100%，异味防控成效显著，无周边居民投诉，实现场馆与周边生态环境协同发展，提升场馆生态宜居水平。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1" w:id="21"/>
      <w:r>
        <w:rPr>
          <w:rFonts w:eastAsia="等线" w:ascii="Arial" w:cs="Arial" w:hAnsi="Arial"/>
          <w:b w:val="true"/>
          <w:sz w:val="30"/>
        </w:rPr>
        <w:t>（二）绿建适配说明</w:t>
      </w:r>
      <w:bookmarkEnd w:id="21"/>
    </w:p>
    <w:p>
      <w:pPr>
        <w:numPr>
          <w:numId w:val="3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本方案所有补偿数据均为实测真实数据，与场馆垃圾收集处理记录表、绿化养护台账、节水改造记录等数据完全一致，形成“生态影响测算-补偿实施-成效监测”的完整闭环，可相互印证，供绿建评价现场核查；</w:t>
      </w:r>
    </w:p>
    <w:p>
      <w:pPr>
        <w:numPr>
          <w:numId w:val="3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生态补偿措施贴合《绿色建筑评价标准》《河南省绿色建筑评价标准》要求，聚焦“资源循环利用”“环境与宜居”核心指标，通过垃圾资源化利用、绿化生态修复、水资源保护等补偿措施，助力绿建二星级评价相关指标达标；</w:t>
      </w:r>
    </w:p>
    <w:p>
      <w:pPr>
        <w:numPr>
          <w:numId w:val="4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方案实施过程中形成的所有佐证材料（支付凭证、采购合同、养护记录、监测报告等）均已齐全归档，归档期限≥15年，可随时调取供绿建评价系统填报及现场核查，确保补偿工作的真实性、合规性、可追溯性；</w:t>
      </w:r>
    </w:p>
    <w:p>
      <w:pPr>
        <w:numPr>
          <w:numId w:val="4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方案严格遵循驻马店市生态补偿相关政策，补偿方式、标准、资金使用均符合地方要求，体现“谁受益谁补偿，谁保护谁受偿”的原则，助力驻马店市“无废城市”“生态宜居城市”创建，与绿建评价理念高度契合superscript:1][superscript:2][superscript:3]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2" w:id="22"/>
      <w:r>
        <w:rPr>
          <w:rFonts w:eastAsia="等线" w:ascii="Arial" w:cs="Arial" w:hAnsi="Arial"/>
          <w:b w:val="true"/>
          <w:sz w:val="32"/>
        </w:rPr>
        <w:t>七、签字确认（佐证方案真实性、合规性）</w:t>
      </w:r>
      <w:bookmarkEnd w:id="22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填报人（签字）：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张XX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日期：2024年2月1日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监督人（签字）：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李XX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日期：2024年2月1日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绿建专项核查人（签字）：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王XX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日期：2024年2月2日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填报单位（盖章）：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驻马店博物馆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日期：2024年2月2日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3" w:id="23"/>
      <w:r>
        <w:rPr>
          <w:rFonts w:eastAsia="等线" w:ascii="Arial" w:cs="Arial" w:hAnsi="Arial"/>
          <w:b w:val="true"/>
          <w:sz w:val="32"/>
        </w:rPr>
        <w:t>八、补充说明（贴合绿建核查需求）</w:t>
      </w:r>
      <w:bookmarkEnd w:id="23"/>
    </w:p>
    <w:p>
      <w:pPr>
        <w:numPr>
          <w:numId w:val="4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本方案所有数据均基于驻马店博物馆现场实测、驻马店市生态补偿政策及市场真实价格测算，真实可核查，与场馆其他绿建佐证材料数据一致，无偏差，可直接用于绿建评价系统填报；</w:t>
      </w:r>
    </w:p>
    <w:p>
      <w:pPr>
        <w:numPr>
          <w:numId w:val="4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若绿建评价核查需要，可提供生态补偿资金支付凭证、采购合同、养护记录、效果监测报告等所有佐证材料的原件及复印件，进一步佐证方案的真实性、合规性；</w:t>
      </w:r>
    </w:p>
    <w:p>
      <w:pPr>
        <w:numPr>
          <w:numId w:val="4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本方案可根据绿建评价核查要求、驻马店市生态补偿政策调整及场馆实际情况，及时优化补偿标准、实施计划，所有调整记录均会归档留存，供核查使用；</w:t>
      </w:r>
    </w:p>
    <w:p>
      <w:pPr>
        <w:numPr>
          <w:numId w:val="4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本方案实施过程中，严格接受驻马店市生态环境局、住建局等相关部门的监督指导，确保生态补偿工作符合地方政策及绿建评价要求，助力绿建二星级评价顺利通过。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注：本文中superscript:1]对应《驻马店市出台饮用水水源地生态保护补偿办法_河南省人民政府门户网站》，superscript:2]对应《生态保护补偿条例_中国政府网》，superscript:3]对应《驻马店市贯彻落实2025年水污染防治攻坚专项督察反馈问题整改方案》，相关数据及信息均来自官方发布及场馆实测，真实可核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601420">
    <w:lvl>
      <w:start w:val="1"/>
      <w:numFmt w:val="decimal"/>
      <w:suff w:val="tab"/>
      <w:lvlText w:val="%1."/>
      <w:rPr>
        <w:color w:val="3370ff"/>
      </w:rPr>
    </w:lvl>
  </w:abstractNum>
  <w:abstractNum w:abstractNumId="601421">
    <w:lvl>
      <w:start w:val="2"/>
      <w:numFmt w:val="decimal"/>
      <w:suff w:val="tab"/>
      <w:lvlText w:val="%1."/>
      <w:rPr>
        <w:color w:val="3370ff"/>
      </w:rPr>
    </w:lvl>
  </w:abstractNum>
  <w:abstractNum w:abstractNumId="601422">
    <w:lvl>
      <w:start w:val="3"/>
      <w:numFmt w:val="decimal"/>
      <w:suff w:val="tab"/>
      <w:lvlText w:val="%1."/>
      <w:rPr>
        <w:color w:val="3370ff"/>
      </w:rPr>
    </w:lvl>
  </w:abstractNum>
  <w:abstractNum w:abstractNumId="601423">
    <w:lvl>
      <w:start w:val="1"/>
      <w:numFmt w:val="decimal"/>
      <w:suff w:val="tab"/>
      <w:lvlText w:val="%1."/>
      <w:rPr>
        <w:color w:val="3370ff"/>
      </w:rPr>
    </w:lvl>
  </w:abstractNum>
  <w:abstractNum w:abstractNumId="601424">
    <w:lvl>
      <w:start w:val="2"/>
      <w:numFmt w:val="decimal"/>
      <w:suff w:val="tab"/>
      <w:lvlText w:val="%1."/>
      <w:rPr>
        <w:color w:val="3370ff"/>
      </w:rPr>
    </w:lvl>
  </w:abstractNum>
  <w:abstractNum w:abstractNumId="601425">
    <w:lvl>
      <w:start w:val="3"/>
      <w:numFmt w:val="decimal"/>
      <w:suff w:val="tab"/>
      <w:lvlText w:val="%1."/>
      <w:rPr>
        <w:color w:val="3370ff"/>
      </w:rPr>
    </w:lvl>
  </w:abstractNum>
  <w:abstractNum w:abstractNumId="601426">
    <w:lvl>
      <w:start w:val="4"/>
      <w:numFmt w:val="decimal"/>
      <w:suff w:val="tab"/>
      <w:lvlText w:val="%1."/>
      <w:rPr>
        <w:color w:val="3370ff"/>
      </w:rPr>
    </w:lvl>
  </w:abstractNum>
  <w:abstractNum w:abstractNumId="601427">
    <w:lvl>
      <w:start w:val="1"/>
      <w:numFmt w:val="decimal"/>
      <w:suff w:val="tab"/>
      <w:lvlText w:val="%1."/>
      <w:rPr>
        <w:color w:val="3370ff"/>
      </w:rPr>
    </w:lvl>
  </w:abstractNum>
  <w:abstractNum w:abstractNumId="601428">
    <w:lvl>
      <w:start w:val="2"/>
      <w:numFmt w:val="decimal"/>
      <w:suff w:val="tab"/>
      <w:lvlText w:val="%1."/>
      <w:rPr>
        <w:color w:val="3370ff"/>
      </w:rPr>
    </w:lvl>
  </w:abstractNum>
  <w:abstractNum w:abstractNumId="601429">
    <w:lvl>
      <w:start w:val="3"/>
      <w:numFmt w:val="decimal"/>
      <w:suff w:val="tab"/>
      <w:lvlText w:val="%1."/>
      <w:rPr>
        <w:color w:val="3370ff"/>
      </w:rPr>
    </w:lvl>
  </w:abstractNum>
  <w:abstractNum w:abstractNumId="601430">
    <w:lvl>
      <w:start w:val="4"/>
      <w:numFmt w:val="decimal"/>
      <w:suff w:val="tab"/>
      <w:lvlText w:val="%1."/>
      <w:rPr>
        <w:color w:val="3370ff"/>
      </w:rPr>
    </w:lvl>
  </w:abstractNum>
  <w:abstractNum w:abstractNumId="601431">
    <w:lvl>
      <w:start w:val="5"/>
      <w:numFmt w:val="decimal"/>
      <w:suff w:val="tab"/>
      <w:lvlText w:val="%1."/>
      <w:rPr>
        <w:color w:val="3370ff"/>
      </w:rPr>
    </w:lvl>
  </w:abstractNum>
  <w:abstractNum w:abstractNumId="601432">
    <w:lvl>
      <w:start w:val="1"/>
      <w:numFmt w:val="decimal"/>
      <w:suff w:val="tab"/>
      <w:lvlText w:val="%1."/>
      <w:rPr>
        <w:color w:val="3370ff"/>
      </w:rPr>
    </w:lvl>
  </w:abstractNum>
  <w:abstractNum w:abstractNumId="601433">
    <w:lvl>
      <w:start w:val="2"/>
      <w:numFmt w:val="decimal"/>
      <w:suff w:val="tab"/>
      <w:lvlText w:val="%1."/>
      <w:rPr>
        <w:color w:val="3370ff"/>
      </w:rPr>
    </w:lvl>
  </w:abstractNum>
  <w:abstractNum w:abstractNumId="601434">
    <w:lvl>
      <w:start w:val="3"/>
      <w:numFmt w:val="decimal"/>
      <w:suff w:val="tab"/>
      <w:lvlText w:val="%1."/>
      <w:rPr>
        <w:color w:val="3370ff"/>
      </w:rPr>
    </w:lvl>
  </w:abstractNum>
  <w:abstractNum w:abstractNumId="601435">
    <w:lvl>
      <w:start w:val="4"/>
      <w:numFmt w:val="decimal"/>
      <w:suff w:val="tab"/>
      <w:lvlText w:val="%1."/>
      <w:rPr>
        <w:color w:val="3370ff"/>
      </w:rPr>
    </w:lvl>
  </w:abstractNum>
  <w:abstractNum w:abstractNumId="601436">
    <w:lvl>
      <w:start w:val="1"/>
      <w:numFmt w:val="decimal"/>
      <w:suff w:val="tab"/>
      <w:lvlText w:val="%1."/>
      <w:rPr>
        <w:color w:val="3370ff"/>
      </w:rPr>
    </w:lvl>
  </w:abstractNum>
  <w:abstractNum w:abstractNumId="601437">
    <w:lvl>
      <w:start w:val="2"/>
      <w:numFmt w:val="decimal"/>
      <w:suff w:val="tab"/>
      <w:lvlText w:val="%1."/>
      <w:rPr>
        <w:color w:val="3370ff"/>
      </w:rPr>
    </w:lvl>
  </w:abstractNum>
  <w:abstractNum w:abstractNumId="601438">
    <w:lvl>
      <w:start w:val="3"/>
      <w:numFmt w:val="decimal"/>
      <w:suff w:val="tab"/>
      <w:lvlText w:val="%1."/>
      <w:rPr>
        <w:color w:val="3370ff"/>
      </w:rPr>
    </w:lvl>
  </w:abstractNum>
  <w:abstractNum w:abstractNumId="601439">
    <w:lvl>
      <w:start w:val="1"/>
      <w:numFmt w:val="decimal"/>
      <w:suff w:val="tab"/>
      <w:lvlText w:val="%1."/>
      <w:rPr>
        <w:color w:val="3370ff"/>
      </w:rPr>
    </w:lvl>
  </w:abstractNum>
  <w:abstractNum w:abstractNumId="601440">
    <w:lvl>
      <w:start w:val="2"/>
      <w:numFmt w:val="decimal"/>
      <w:suff w:val="tab"/>
      <w:lvlText w:val="%1."/>
      <w:rPr>
        <w:color w:val="3370ff"/>
      </w:rPr>
    </w:lvl>
  </w:abstractNum>
  <w:abstractNum w:abstractNumId="601441">
    <w:lvl>
      <w:start w:val="3"/>
      <w:numFmt w:val="decimal"/>
      <w:suff w:val="tab"/>
      <w:lvlText w:val="%1."/>
      <w:rPr>
        <w:color w:val="3370ff"/>
      </w:rPr>
    </w:lvl>
  </w:abstractNum>
  <w:abstractNum w:abstractNumId="601442">
    <w:lvl>
      <w:start w:val="1"/>
      <w:numFmt w:val="decimal"/>
      <w:suff w:val="tab"/>
      <w:lvlText w:val="%1."/>
      <w:rPr>
        <w:color w:val="3370ff"/>
      </w:rPr>
    </w:lvl>
  </w:abstractNum>
  <w:abstractNum w:abstractNumId="601443">
    <w:lvl>
      <w:start w:val="2"/>
      <w:numFmt w:val="decimal"/>
      <w:suff w:val="tab"/>
      <w:lvlText w:val="%1."/>
      <w:rPr>
        <w:color w:val="3370ff"/>
      </w:rPr>
    </w:lvl>
  </w:abstractNum>
  <w:abstractNum w:abstractNumId="601444">
    <w:lvl>
      <w:start w:val="3"/>
      <w:numFmt w:val="decimal"/>
      <w:suff w:val="tab"/>
      <w:lvlText w:val="%1."/>
      <w:rPr>
        <w:color w:val="3370ff"/>
      </w:rPr>
    </w:lvl>
  </w:abstractNum>
  <w:abstractNum w:abstractNumId="601445">
    <w:lvl>
      <w:start w:val="1"/>
      <w:numFmt w:val="decimal"/>
      <w:suff w:val="tab"/>
      <w:lvlText w:val="%1."/>
      <w:rPr>
        <w:color w:val="3370ff"/>
      </w:rPr>
    </w:lvl>
  </w:abstractNum>
  <w:abstractNum w:abstractNumId="601446">
    <w:lvl>
      <w:start w:val="2"/>
      <w:numFmt w:val="decimal"/>
      <w:suff w:val="tab"/>
      <w:lvlText w:val="%1."/>
      <w:rPr>
        <w:color w:val="3370ff"/>
      </w:rPr>
    </w:lvl>
  </w:abstractNum>
  <w:abstractNum w:abstractNumId="601447">
    <w:lvl>
      <w:start w:val="3"/>
      <w:numFmt w:val="decimal"/>
      <w:suff w:val="tab"/>
      <w:lvlText w:val="%1."/>
      <w:rPr>
        <w:color w:val="3370ff"/>
      </w:rPr>
    </w:lvl>
  </w:abstractNum>
  <w:abstractNum w:abstractNumId="601448">
    <w:lvl>
      <w:start w:val="4"/>
      <w:numFmt w:val="decimal"/>
      <w:suff w:val="tab"/>
      <w:lvlText w:val="%1."/>
      <w:rPr>
        <w:color w:val="3370ff"/>
      </w:rPr>
    </w:lvl>
  </w:abstractNum>
  <w:abstractNum w:abstractNumId="601449">
    <w:lvl>
      <w:start w:val="1"/>
      <w:numFmt w:val="decimal"/>
      <w:suff w:val="tab"/>
      <w:lvlText w:val="%1."/>
      <w:rPr>
        <w:color w:val="3370ff"/>
      </w:rPr>
    </w:lvl>
  </w:abstractNum>
  <w:abstractNum w:abstractNumId="601450">
    <w:lvl>
      <w:start w:val="2"/>
      <w:numFmt w:val="decimal"/>
      <w:suff w:val="tab"/>
      <w:lvlText w:val="%1."/>
      <w:rPr>
        <w:color w:val="3370ff"/>
      </w:rPr>
    </w:lvl>
  </w:abstractNum>
  <w:abstractNum w:abstractNumId="601451">
    <w:lvl>
      <w:start w:val="3"/>
      <w:numFmt w:val="decimal"/>
      <w:suff w:val="tab"/>
      <w:lvlText w:val="%1."/>
      <w:rPr>
        <w:color w:val="3370ff"/>
      </w:rPr>
    </w:lvl>
  </w:abstractNum>
  <w:abstractNum w:abstractNumId="601452">
    <w:lvl>
      <w:start w:val="4"/>
      <w:numFmt w:val="decimal"/>
      <w:suff w:val="tab"/>
      <w:lvlText w:val="%1."/>
      <w:rPr>
        <w:color w:val="3370ff"/>
      </w:rPr>
    </w:lvl>
  </w:abstractNum>
  <w:abstractNum w:abstractNumId="601453">
    <w:lvl>
      <w:start w:val="1"/>
      <w:numFmt w:val="decimal"/>
      <w:suff w:val="tab"/>
      <w:lvlText w:val="%1."/>
      <w:rPr>
        <w:color w:val="3370ff"/>
      </w:rPr>
    </w:lvl>
  </w:abstractNum>
  <w:abstractNum w:abstractNumId="601454">
    <w:lvl>
      <w:start w:val="2"/>
      <w:numFmt w:val="decimal"/>
      <w:suff w:val="tab"/>
      <w:lvlText w:val="%1."/>
      <w:rPr>
        <w:color w:val="3370ff"/>
      </w:rPr>
    </w:lvl>
  </w:abstractNum>
  <w:abstractNum w:abstractNumId="601455">
    <w:lvl>
      <w:start w:val="3"/>
      <w:numFmt w:val="decimal"/>
      <w:suff w:val="tab"/>
      <w:lvlText w:val="%1."/>
      <w:rPr>
        <w:color w:val="3370ff"/>
      </w:rPr>
    </w:lvl>
  </w:abstractNum>
  <w:abstractNum w:abstractNumId="601456">
    <w:lvl>
      <w:start w:val="4"/>
      <w:numFmt w:val="decimal"/>
      <w:suff w:val="tab"/>
      <w:lvlText w:val="%1."/>
      <w:rPr>
        <w:color w:val="3370ff"/>
      </w:rPr>
    </w:lvl>
  </w:abstractNum>
  <w:abstractNum w:abstractNumId="601457">
    <w:lvl>
      <w:start w:val="1"/>
      <w:numFmt w:val="decimal"/>
      <w:suff w:val="tab"/>
      <w:lvlText w:val="%1."/>
      <w:rPr>
        <w:color w:val="3370ff"/>
      </w:rPr>
    </w:lvl>
  </w:abstractNum>
  <w:abstractNum w:abstractNumId="601458">
    <w:lvl>
      <w:start w:val="2"/>
      <w:numFmt w:val="decimal"/>
      <w:suff w:val="tab"/>
      <w:lvlText w:val="%1."/>
      <w:rPr>
        <w:color w:val="3370ff"/>
      </w:rPr>
    </w:lvl>
  </w:abstractNum>
  <w:abstractNum w:abstractNumId="601459">
    <w:lvl>
      <w:start w:val="3"/>
      <w:numFmt w:val="decimal"/>
      <w:suff w:val="tab"/>
      <w:lvlText w:val="%1."/>
      <w:rPr>
        <w:color w:val="3370ff"/>
      </w:rPr>
    </w:lvl>
  </w:abstractNum>
  <w:abstractNum w:abstractNumId="601460">
    <w:lvl>
      <w:start w:val="4"/>
      <w:numFmt w:val="decimal"/>
      <w:suff w:val="tab"/>
      <w:lvlText w:val="%1."/>
      <w:rPr>
        <w:color w:val="3370ff"/>
      </w:rPr>
    </w:lvl>
  </w:abstractNum>
  <w:abstractNum w:abstractNumId="601461">
    <w:lvl>
      <w:start w:val="1"/>
      <w:numFmt w:val="decimal"/>
      <w:suff w:val="tab"/>
      <w:lvlText w:val="%1."/>
      <w:rPr>
        <w:color w:val="3370ff"/>
      </w:rPr>
    </w:lvl>
  </w:abstractNum>
  <w:abstractNum w:abstractNumId="601462">
    <w:lvl>
      <w:start w:val="2"/>
      <w:numFmt w:val="decimal"/>
      <w:suff w:val="tab"/>
      <w:lvlText w:val="%1."/>
      <w:rPr>
        <w:color w:val="3370ff"/>
      </w:rPr>
    </w:lvl>
  </w:abstractNum>
  <w:abstractNum w:abstractNumId="601463">
    <w:lvl>
      <w:start w:val="3"/>
      <w:numFmt w:val="decimal"/>
      <w:suff w:val="tab"/>
      <w:lvlText w:val="%1."/>
      <w:rPr>
        <w:color w:val="3370ff"/>
      </w:rPr>
    </w:lvl>
  </w:abstractNum>
  <w:abstractNum w:abstractNumId="601464">
    <w:lvl>
      <w:start w:val="4"/>
      <w:numFmt w:val="decimal"/>
      <w:suff w:val="tab"/>
      <w:lvlText w:val="%1."/>
      <w:rPr>
        <w:color w:val="3370ff"/>
      </w:rPr>
    </w:lvl>
  </w:abstractNum>
  <w:num w:numId="1">
    <w:abstractNumId w:val="601420"/>
  </w:num>
  <w:num w:numId="2">
    <w:abstractNumId w:val="601421"/>
  </w:num>
  <w:num w:numId="3">
    <w:abstractNumId w:val="601422"/>
  </w:num>
  <w:num w:numId="4">
    <w:abstractNumId w:val="601423"/>
  </w:num>
  <w:num w:numId="5">
    <w:abstractNumId w:val="601424"/>
  </w:num>
  <w:num w:numId="6">
    <w:abstractNumId w:val="601425"/>
  </w:num>
  <w:num w:numId="7">
    <w:abstractNumId w:val="601426"/>
  </w:num>
  <w:num w:numId="8">
    <w:abstractNumId w:val="601427"/>
  </w:num>
  <w:num w:numId="9">
    <w:abstractNumId w:val="601428"/>
  </w:num>
  <w:num w:numId="10">
    <w:abstractNumId w:val="601429"/>
  </w:num>
  <w:num w:numId="11">
    <w:abstractNumId w:val="601430"/>
  </w:num>
  <w:num w:numId="12">
    <w:abstractNumId w:val="601431"/>
  </w:num>
  <w:num w:numId="13">
    <w:abstractNumId w:val="601432"/>
  </w:num>
  <w:num w:numId="14">
    <w:abstractNumId w:val="601433"/>
  </w:num>
  <w:num w:numId="15">
    <w:abstractNumId w:val="601434"/>
  </w:num>
  <w:num w:numId="16">
    <w:abstractNumId w:val="601435"/>
  </w:num>
  <w:num w:numId="17">
    <w:abstractNumId w:val="601436"/>
  </w:num>
  <w:num w:numId="18">
    <w:abstractNumId w:val="601437"/>
  </w:num>
  <w:num w:numId="19">
    <w:abstractNumId w:val="601438"/>
  </w:num>
  <w:num w:numId="20">
    <w:abstractNumId w:val="601439"/>
  </w:num>
  <w:num w:numId="21">
    <w:abstractNumId w:val="601440"/>
  </w:num>
  <w:num w:numId="22">
    <w:abstractNumId w:val="601441"/>
  </w:num>
  <w:num w:numId="23">
    <w:abstractNumId w:val="601442"/>
  </w:num>
  <w:num w:numId="24">
    <w:abstractNumId w:val="601443"/>
  </w:num>
  <w:num w:numId="25">
    <w:abstractNumId w:val="601444"/>
  </w:num>
  <w:num w:numId="26">
    <w:abstractNumId w:val="601445"/>
  </w:num>
  <w:num w:numId="27">
    <w:abstractNumId w:val="601446"/>
  </w:num>
  <w:num w:numId="28">
    <w:abstractNumId w:val="601447"/>
  </w:num>
  <w:num w:numId="29">
    <w:abstractNumId w:val="601448"/>
  </w:num>
  <w:num w:numId="30">
    <w:abstractNumId w:val="601449"/>
  </w:num>
  <w:num w:numId="31">
    <w:abstractNumId w:val="601450"/>
  </w:num>
  <w:num w:numId="32">
    <w:abstractNumId w:val="601451"/>
  </w:num>
  <w:num w:numId="33">
    <w:abstractNumId w:val="601452"/>
  </w:num>
  <w:num w:numId="34">
    <w:abstractNumId w:val="601453"/>
  </w:num>
  <w:num w:numId="35">
    <w:abstractNumId w:val="601454"/>
  </w:num>
  <w:num w:numId="36">
    <w:abstractNumId w:val="601455"/>
  </w:num>
  <w:num w:numId="37">
    <w:abstractNumId w:val="601456"/>
  </w:num>
  <w:num w:numId="38">
    <w:abstractNumId w:val="601457"/>
  </w:num>
  <w:num w:numId="39">
    <w:abstractNumId w:val="601458"/>
  </w:num>
  <w:num w:numId="40">
    <w:abstractNumId w:val="601459"/>
  </w:num>
  <w:num w:numId="41">
    <w:abstractNumId w:val="601460"/>
  </w:num>
  <w:num w:numId="42">
    <w:abstractNumId w:val="601461"/>
  </w:num>
  <w:num w:numId="43">
    <w:abstractNumId w:val="601462"/>
  </w:num>
  <w:num w:numId="44">
    <w:abstractNumId w:val="601463"/>
  </w:num>
  <w:num w:numId="45">
    <w:abstractNumId w:val="601464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2026-03-28T10:12:29Z</dcterms:created>
  <dc:creator>Apache POI</dc:creator>
</cp:coreProperties>
</file>