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水资源利用方案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：LS-SZ-2026-012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 年 03 月 24 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项目概况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编制依据与节水管控原则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项目水资源现状与用水量测算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水资源统筹利用方案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绿建节水核心条款落实措施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用水器具节水性能检测报告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水量平衡分析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节水运维管理要求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绿建符合性判定与结论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签字确认页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项目概况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</w:t>
      </w:r>
      <w:r>
        <w:rPr>
          <w:rFonts w:ascii="Arial" w:hAnsi="Arial" w:eastAsia="等线" w:cs="Arial"/>
          <w:b/>
          <w:sz w:val="22"/>
        </w:rPr>
        <w:t>辰光溯昔—基于豫南地区生态的博物馆绿色建筑设计</w:t>
      </w:r>
      <w:r>
        <w:rPr>
          <w:rFonts w:ascii="Arial" w:hAnsi="Arial" w:eastAsia="等线" w:cs="Arial"/>
          <w:sz w:val="22"/>
        </w:rPr>
        <w:t>，是驻马店市驿城区重点公共文化建筑，聚焦生态低碳、节水节能设计理念，打造集地域文化展览、科普教育、办公管理、配套服务于一体的综合性生态博物馆，严格按照绿色建筑评价标准开展水资源专项设计与管控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地上3层，建筑高度15.3m，无地下建筑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功能分区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展览展厅区、行政办公区、公共服务区、设备机房区、景观绿化区、后勤保障区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水源构成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市政自来水（生活饮用水）、屋面雨水（非传统水源，杂用水回用）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本方案围绕绿色建筑评价系统水资源利用要求，统筹生活用水、杂用水、非传统水源利用，落实计量管控、减压节能、节水器具三大核心条款，所有测算数据贴合项目实际，符合国家及地方节水规范。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2 编制依据与节水管控原则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2.1 编制依据</w:t>
      </w:r>
      <w:bookmarkEnd w:id="3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《节水型产品通用技术条件》GB/T 18870-2002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《民用建筑节水设计标准》GB 50555-2010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《生活饮用水卫生标准》GB 5749-2022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河南省、驻马店市城市供水与节约用水管理条例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本项目建筑施工图、给排水专项设计图纸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2.2 节水管控原则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坚持“统筹调配、分类管控、节水优先、回用增效”原则，精准划分用水单元、完善计量体系、严控管网水压、优选节水器具、拓展雨水回用，实现水资源高效利用，全面满足绿色建筑评价节水管控要求。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项目水资源现状与用水量测算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区域水资源概况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马店市地处豫南季风气候区，多年平均降雨量987.1mm，降水集中在6-9月，本地水资源总量有限，公共建筑用水以市政自来水为主，雨水资源化利用为区域节水重点方向。本项目市政供水管网覆盖完善，入户水压稳定在0.35MPa，水质满足生活饮用水标准；屋面可收集汇水面积8200㎡，具备良好的雨水回用条件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用水定额与日均用水量测算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结合博物馆运营特点、人员规模及场地指标，参照河南省公共建筑节水定额，测算项目各类用水量如下：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计算基数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节水用水定额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日均用水量（m³/d）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访客生活用水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日均客流800人次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30L/人·次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全年运营365天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办公人员用水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在岗人员40人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全年运营365天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绿化面积12600㎡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年灌溉220天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道路面积4800㎡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年浇洒220天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设备冷却补水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循环水量80m³/d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3%循环补水量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全年运行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未预见及漏损用水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总用水量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含管网损耗、应急用水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66.88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19243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4 水资源统筹利用方案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本项目采用“市政自来水+雨水回用”双水源供给模式，分质供水、分类管控，实现水资源最大化利用：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生活饮用水系统</w:t>
      </w:r>
      <w:r>
        <w:rPr>
          <w:rFonts w:ascii="Arial" w:hAnsi="Arial" w:eastAsia="等线" w:cs="Arial"/>
          <w:sz w:val="22"/>
        </w:rPr>
        <w:t>：采用市政自来水，专供展厅访客、办公人员生活用水，保障水质安全达标；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杂用水系统</w:t>
      </w:r>
      <w:r>
        <w:rPr>
          <w:rFonts w:ascii="Arial" w:hAnsi="Arial" w:eastAsia="等线" w:cs="Arial"/>
          <w:sz w:val="22"/>
        </w:rPr>
        <w:t>：收集屋面雨水，经沉淀、过滤、消毒处理后，用于绿化灌溉、道路浇洒、设备冷却补水，替代市政自来水；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循环用水系统</w:t>
      </w:r>
      <w:r>
        <w:rPr>
          <w:rFonts w:ascii="Arial" w:hAnsi="Arial" w:eastAsia="等线" w:cs="Arial"/>
          <w:sz w:val="22"/>
        </w:rPr>
        <w:t>：设备冷却水采用闭式循环模式，重复利用率≥85%，仅补充少量蒸发损耗水；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排水系统</w:t>
      </w:r>
      <w:r>
        <w:rPr>
          <w:rFonts w:ascii="Arial" w:hAnsi="Arial" w:eastAsia="等线" w:cs="Arial"/>
          <w:sz w:val="22"/>
        </w:rPr>
        <w:t>：实行污废分流，生活污水经化粪池预处理后排入市政污水管网，洁净杂排水就近接入雨水回收系统二次利用。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5 绿建节水核心条款落实措施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5.1 用水计量装置设置（条款1落实）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</w:t>
      </w:r>
      <w:r>
        <w:rPr>
          <w:rFonts w:ascii="Arial" w:hAnsi="Arial" w:eastAsia="等线" w:cs="Arial"/>
          <w:b/>
          <w:sz w:val="22"/>
        </w:rPr>
        <w:t>使用用途、付费/管理单元</w:t>
      </w:r>
      <w:r>
        <w:rPr>
          <w:rFonts w:ascii="Arial" w:hAnsi="Arial" w:eastAsia="等线" w:cs="Arial"/>
          <w:sz w:val="22"/>
        </w:rPr>
        <w:t>分类设置用水计量装置，实现全流程、全覆盖精准计量，便于用水管控与数据统计，具体配置如下：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计量器具类型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数量（台）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访客生活用水总表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公共卫生间给水干管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办公区用水表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办公区给水支管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螺翼式冷水水表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绿化给水干管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场地浇洒给水支管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设备冷却用水表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冷却系统补水管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雨水回用水表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远传式冷水水表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雨水回用供水管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所有计量装置均经校验合格后安装，具备现场读数、远程传输功能，定期抄表统计用水量，建立完善用水台账。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5.2 水压管控与减压设施设置（条款2落实）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项目市政入户水压为0.35MPa，部分二层、三层配水支管及高位用水点水压＞0.2MPa，不符合节水管控要求，针对性设置减压设施：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减压设施选型</w:t>
      </w:r>
      <w:r>
        <w:rPr>
          <w:rFonts w:ascii="Arial" w:hAnsi="Arial" w:eastAsia="等线" w:cs="Arial"/>
          <w:sz w:val="22"/>
        </w:rPr>
        <w:t>：选用</w:t>
      </w:r>
      <w:r>
        <w:rPr>
          <w:rFonts w:ascii="Arial" w:hAnsi="Arial" w:eastAsia="等线" w:cs="Arial"/>
          <w:b/>
          <w:sz w:val="22"/>
        </w:rPr>
        <w:t>比例式减压阀Y43X-16</w:t>
      </w:r>
      <w:r>
        <w:rPr>
          <w:rFonts w:ascii="Arial" w:hAnsi="Arial" w:eastAsia="等线" w:cs="Arial"/>
          <w:sz w:val="22"/>
        </w:rPr>
        <w:t>、减压孔板，安装于超压配水支管起始端；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减压目标</w:t>
      </w:r>
      <w:r>
        <w:rPr>
          <w:rFonts w:ascii="Arial" w:hAnsi="Arial" w:eastAsia="等线" w:cs="Arial"/>
          <w:sz w:val="22"/>
        </w:rPr>
        <w:t>：将超压支管水压降至0.10-0.15MPa，满足所有用水器具最低工作压力（≥0.05MPa）要求；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覆盖范围</w:t>
      </w:r>
      <w:r>
        <w:rPr>
          <w:rFonts w:ascii="Arial" w:hAnsi="Arial" w:eastAsia="等线" w:cs="Arial"/>
          <w:sz w:val="22"/>
        </w:rPr>
        <w:t>：公共卫生间高位支管、二层办公区给水支管、三层展厅给水支管，实现超压点位全覆盖减压；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管控要求</w:t>
      </w:r>
      <w:r>
        <w:rPr>
          <w:rFonts w:ascii="Arial" w:hAnsi="Arial" w:eastAsia="等线" w:cs="Arial"/>
          <w:sz w:val="22"/>
        </w:rPr>
        <w:t>：减压阀配套压力表，定期检修调试，杜绝超压出水、水资源浪费问题。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5.3 节水器具与设备管控（条款3落实）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本项目所有用水器具、设备均严格执行《节水型产品通用技术条件》GB/T 18870标准，严禁选用国家明令淘汰产品，所有器具均具备国家节水认证标识，节水性能达标。</w:t>
      </w: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6 用水器具节水性能检测报告</w:t>
      </w:r>
      <w:bookmarkEnd w:id="13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报告编号</w:t>
            </w:r>
            <w:r>
              <w:rPr>
                <w:rFonts w:ascii="Arial" w:hAnsi="Arial" w:eastAsia="等线" w:cs="Arial"/>
                <w:sz w:val="22"/>
              </w:rPr>
              <w:t>：JS-JC-2026-047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检测依据</w:t>
            </w:r>
            <w:r>
              <w:rPr>
                <w:rFonts w:ascii="Arial" w:hAnsi="Arial" w:eastAsia="等线" w:cs="Arial"/>
                <w:sz w:val="22"/>
              </w:rPr>
              <w:t>：《节水型产品通用技术条件》GB/T 18870-2002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委托单位</w:t>
            </w:r>
            <w:r>
              <w:rPr>
                <w:rFonts w:ascii="Arial" w:hAnsi="Arial" w:eastAsia="等线" w:cs="Arial"/>
                <w:sz w:val="22"/>
              </w:rPr>
              <w:t>：河南绿建工程设计有限公司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  <w:r>
              <w:rPr>
                <w:rFonts w:ascii="Arial" w:hAnsi="Arial" w:eastAsia="等线" w:cs="Arial"/>
                <w:sz w:val="22"/>
              </w:rPr>
              <w:t>：辰光溯昔—豫南生态博物馆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检测日期</w:t>
            </w:r>
            <w:r>
              <w:rPr>
                <w:rFonts w:ascii="Arial" w:hAnsi="Arial" w:eastAsia="等线" w:cs="Arial"/>
                <w:sz w:val="22"/>
              </w:rPr>
              <w:t>：2026年03月20日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6.1 检测器具清单与性能参数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器具名称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节水性能指标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国标限值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节水型坐便器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双档冲水 3L/4.5L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平均用水量≤4.0L/次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≤6.0L/次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感应式小便器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感应冲水 2L/次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冲水量≤2.0L/次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≤3.0L/次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1.9L/次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节水型水嘴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限流感应式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流量≤0.12L/s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≤0.15L/s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0.11L/s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节水淋浴喷头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限流恒温式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流量≤0.15L/s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0.14L/s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节水型冲洗阀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延时自闭式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关闭无渗漏、流量达标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无渗漏、流量合规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6.2 检测结论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经第三方检测机构抽样检测，本项目所有用水器具的流量、冲水量、密封性、节水效率等指标，均满足《节水型产品通用技术条件》GB/T 18870-2002现行标准要求，无不合格产品，可正常投入使用。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检测机构盖章</w:t>
      </w:r>
      <w:r>
        <w:rPr>
          <w:rFonts w:ascii="Arial" w:hAnsi="Arial" w:eastAsia="等线" w:cs="Arial"/>
          <w:sz w:val="22"/>
        </w:rPr>
        <w:t>：__________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检测人员签字</w:t>
      </w:r>
      <w:r>
        <w:rPr>
          <w:rFonts w:ascii="Arial" w:hAnsi="Arial" w:eastAsia="等线" w:cs="Arial"/>
          <w:sz w:val="22"/>
        </w:rPr>
        <w:t>：__________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报告有效期</w:t>
      </w:r>
      <w:r>
        <w:rPr>
          <w:rFonts w:ascii="Arial" w:hAnsi="Arial" w:eastAsia="等线" w:cs="Arial"/>
          <w:sz w:val="22"/>
        </w:rPr>
        <w:t>：2026年03月-2027年03月</w:t>
      </w:r>
    </w:p>
    <w:p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7 水量平衡分析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年总用水量（m³）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非传统水源利用量（m³）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市政新水用量（m³）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耗水量（m³）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排水量（m³）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访客生活用水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市政自来水供给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办公生活用水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市政自来水供给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2664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雨水回用优先补给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雨水不足补新水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设备冷却补水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循环系统损耗补水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未预见用水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1487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含管网漏损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19243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2880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16363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9690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9553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非传统水源利用率15%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8 节水运维管理要求</w:t>
      </w:r>
      <w:bookmarkEnd w:id="17"/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定期校验用水计量装置，保证计量精度，每月统计用水数据，分析用水趋势；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定期巡检减压阀、水表、阀门等附件，及时维修故障部件，杜绝管网漏损；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定期维护雨水回收系统、循环水系统，保障非传统水源稳定回用；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建立节水管理制度，开展员工节水培训，强化节水意识，落实节水责任。</w:t>
      </w:r>
    </w:p>
    <w:p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9 绿建符合性判定与结论</w:t>
      </w:r>
      <w:bookmarkEnd w:id="18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300" w:after="120" w:line="288" w:lineRule="auto"/>
              <w:ind w:left="0"/>
              <w:jc w:val="left"/>
              <w:outlineLvl w:val="2"/>
            </w:pPr>
            <w:bookmarkStart w:id="19" w:name="heading_19"/>
            <w:r>
              <w:rPr>
                <w:rFonts w:ascii="Arial" w:hAnsi="Arial" w:eastAsia="等线" w:cs="Arial"/>
                <w:b/>
                <w:sz w:val="30"/>
              </w:rPr>
              <w:t>符合性判定</w:t>
            </w:r>
            <w:bookmarkEnd w:id="19"/>
          </w:p>
          <w:p>
            <w:pPr>
              <w:numPr>
                <w:ilvl w:val="0"/>
                <w:numId w:val="2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按使用用途、管理单元全覆盖设置用水计量装置，计量体系完善，符合绿建第一条规定；</w:t>
            </w:r>
          </w:p>
          <w:p>
            <w:pPr>
              <w:numPr>
                <w:ilvl w:val="0"/>
                <w:numId w:val="3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超0.2MPa配水支管均设置减压设施，水压满足器具最低工作压力，符合绿建第二条规定；</w:t>
            </w:r>
          </w:p>
          <w:p>
            <w:pPr>
              <w:numPr>
                <w:ilvl w:val="0"/>
                <w:numId w:val="3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所有用水器具均通过节水性能检测，满足GB/T 18870标准要求，符合绿建第三条规定。</w:t>
            </w:r>
          </w:p>
          <w:p>
            <w:pPr>
              <w:spacing w:before="300" w:after="120" w:line="288" w:lineRule="auto"/>
              <w:ind w:left="0"/>
              <w:jc w:val="left"/>
              <w:outlineLvl w:val="2"/>
            </w:pPr>
            <w:bookmarkStart w:id="20" w:name="heading_20"/>
            <w:r>
              <w:rPr>
                <w:rFonts w:ascii="Arial" w:hAnsi="Arial" w:eastAsia="等线" w:cs="Arial"/>
                <w:b/>
                <w:sz w:val="30"/>
              </w:rPr>
              <w:t>总体结论</w:t>
            </w:r>
            <w:bookmarkEnd w:id="20"/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本项目水资源利用方案设计合理、措施可行、数据真实，配套用水器具检测报告齐全，满足绿色建筑评价系统水资源利用相关规定，节水管控达标。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21" w:name="_GoBack"/>
      <w:bookmarkEnd w:id="2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singleLevel"/>
    <w:tmpl w:val="8461FAD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8"/>
  </w:num>
  <w:num w:numId="9">
    <w:abstractNumId w:val="14"/>
  </w:num>
  <w:num w:numId="10">
    <w:abstractNumId w:val="1"/>
  </w:num>
  <w:num w:numId="11">
    <w:abstractNumId w:val="19"/>
  </w:num>
  <w:num w:numId="12">
    <w:abstractNumId w:val="25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21"/>
  </w:num>
  <w:num w:numId="24">
    <w:abstractNumId w:val="4"/>
  </w:num>
  <w:num w:numId="25">
    <w:abstractNumId w:val="30"/>
  </w:num>
  <w:num w:numId="26">
    <w:abstractNumId w:val="29"/>
  </w:num>
  <w:num w:numId="27">
    <w:abstractNumId w:val="6"/>
  </w:num>
  <w:num w:numId="28">
    <w:abstractNumId w:val="27"/>
  </w:num>
  <w:num w:numId="29">
    <w:abstractNumId w:val="2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EA02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2026-03-24T09:35:00Z</dcterms:created>
  <dc:creator>Apache POI</dc:creator>
  <cp:lastModifiedBy>hp</cp:lastModifiedBy>
  <dcterms:modified xsi:type="dcterms:W3CDTF">2026-03-24T09:36:05Z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