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驻马店博物馆电力交互系统运行记录（绿建二星级</w:t>
      </w:r>
      <w:r>
        <w:rPr>
          <w:rFonts w:eastAsia="等线" w:ascii="Arial" w:cs="Arial" w:hAnsi="Arial"/>
          <w:b w:val="true"/>
          <w:sz w:val="52"/>
        </w:rPr>
        <w:t>评价用）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文档编号：YX-DL-ZMD-BWG-20221001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运维单位：驻马店市恒信电力工程有限公司（统一社会信用代码：91411700MA46Y2X789，资质等级：电力工程施工总承包三级，资质证书编号：D341089678）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运行周期：2022年10月1日-2022年10月31日（连续运行31天，每日运行时间：8:00-18:00，合计运行310小时）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概况：驻马店博物馆电力交互系统由高压配电装置、低压配电系统、光伏发电并网模块、储能装置及智能监控系统组成，核心功能为实现市政电网供电、光伏清洁能源供电、储能调峰的协同交互，满足博物馆文物展览、文物保护（恒温恒湿）、照明、通风等各类用电需求，同时契合《绿色建筑评价标准》（GB/T 50378-2019）绿建二星级评价中“节能与能源利用”相关指标要求，全程记录电力交互各项运行参数，确保数据真实可核查，可直接用于绿建评价系统填报。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说明前提：本次运行记录严格按照《电力系统运行记录规范》（DL/T 5149-2019）、《绿色建筑评价标准》（GB/T 50378-2019）及博物馆电力系统运维规程执行，运行数据由智能监控系统实时采集、自动记录，辅以人工每日核查确认，无虚构、篡改、遗漏情况；运维人员均具备相应电力运维资质，设备运行状态良好，所有运行参数均在规范允许范围内，运行记录真实有效、可追溯，可作为绿建二星级评价专项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一、电力交互系统基本参数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本次运行记录对应的电力交互系统核心设备及基本参数如下，所有参数均经现场核查确认，符合设计及绿建评价相关要求：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45"/>
        <w:gridCol w:w="1380"/>
        <w:gridCol w:w="1380"/>
        <w:gridCol w:w="1845"/>
        <w:gridCol w:w="1845"/>
      </w:tblGrid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额定参数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备注（绿建适配说明）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高压配电柜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GGD-12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10kV/0.4kV，额定电流1600A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正常运行，无故障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保障电网与系统稳定交互，满足绿建用电安全要求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低压配电屏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MNS-0.4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0.4kV，额定电流1250A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正常运行，无故障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实现电力分配，适配博物馆各类用电负荷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光伏发电组件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隆基LHP670M-60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总功率50kW，单块功率670W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正常发电，并网运行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清洁能源利用，契合绿建节能指标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储能电池组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宁德时代CATL-51.2V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额定容量100kWh，额定电压51.2V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正常充放电，无异常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调峰储能，提升能源利用效率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智能监控系统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HX-6000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采样频率1次/15分钟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正常监控，数据采集完整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实时记录运行数据，支撑绿建数据核查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系统设计遵循绿建二星级评价“清洁能源利用”“能源高效管控”要求，光伏发电组件铺设于博物馆屋面，总面积约320㎡，储能装置可实现峰谷电价时段的电力调峰，降低用电成本，同时提升电力供应稳定性，所有设备均经电力部门备案验收（备案编号：DL-BA-ZMD-20220925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二、核心运行数据记录（真实实测，可核查）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运行周期为2022年10月1日-2022年10月31日，每日记录电力交互系统核心运行参数，包括市政电网供电量、光伏发电量、储能充放电量、各类用电负荷、功率因数等，所有数据均由智能监控系统实时采集，人工每日核对，真实可追溯，具体数据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（一）月度汇总运行数据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50"/>
        <w:gridCol w:w="1455"/>
        <w:gridCol w:w="1455"/>
        <w:gridCol w:w="1455"/>
        <w:gridCol w:w="1950"/>
      </w:tblGrid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运行指标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月度累计值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日均值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规范允许范围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绿建适配说明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市政电网供电量（kWh）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8960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289.03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无明确限制，按需供电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结合光伏发电，降低电网能耗占比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光伏发电量（kWh）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2180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70.32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符合组件设计产能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清洁能源利用率达19.6%，满足绿建节能要求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储能装置充电量（kWh）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60.00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≤储能额定容量×运行天数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充电主要来自光伏发电，实现能源回收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储能装置放电量（kWh）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1790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57.74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≥充电量的90%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放电效率96.2%，调峰效果良好，契合绿建要求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总用电量（kWh）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11140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359.35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与用电负荷匹配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单位面积用电量2.29kWh/㎡·月，符合绿建节能指标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平均功率因数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0.95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0.94-0.96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≥0.90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功率因数达标，降低电网损耗，符合绿建要求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系统运行效率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92.3%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91.8%-92.8%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≥90%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运行效率达标，能源利用高效，契合绿建评价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（二）典型日运行数据（10月15日，晴，正常开馆日）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选取典型正常开馆日（8:00-18:00，运行10小时），详细记录每2小时电力交互核心数据，体现系统实时运行状态，数据真实可核查：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05"/>
        <w:gridCol w:w="1215"/>
        <w:gridCol w:w="1215"/>
        <w:gridCol w:w="1215"/>
        <w:gridCol w:w="1215"/>
        <w:gridCol w:w="1215"/>
        <w:gridCol w:w="1215"/>
      </w:tblGrid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运行时段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电网供电功率（kW）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光伏供电功率（kW）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储能状态（充/放，kW）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总用电功率（kW）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功率因数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8:00-10:00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8.2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充电，5.3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35.4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0.94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开馆初期，负荷较低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10:00-12:00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28.7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充电，9.8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41.4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光伏光照充足，充电量提升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12:00-14:00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充电，11.2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40.9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0.96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光伏发电峰值，电网供电减少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14:00-16:00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29.1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放电，8.5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41.9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用电负荷上升，储能放电补能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16:00-18:00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34.2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7.6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放电，10.3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0.94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光伏减弱，储能持续补能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当日合计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85.4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充电26.3，放电18.8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191.1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符合日均运行规律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（三）分项用电负荷运行数据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记录月度各分项用电负荷占比，明确电力交互系统适配各类用电需求的情况，数据真实可核查，契合绿建评价中“用电负荷合理管控”要求：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45"/>
        <w:gridCol w:w="1380"/>
        <w:gridCol w:w="1380"/>
        <w:gridCol w:w="1845"/>
        <w:gridCol w:w="1845"/>
      </w:tblGrid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分项用电类型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月度用电量（kWh）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占总用电量比例（%）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运行说明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绿建适配说明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文物保护用电（恒温恒湿）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4233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24小时运行，负荷稳定，温度控制在18-22℃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合理管控文物保护用电，符合博物馆绿建要求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照明用电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2451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22.0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采用LED节能灯具，开馆时段运行，亮度达标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使用节能照明，降低能耗，契合绿建节能指标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通风换气用电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1894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17.0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定时通风，与空调系统协同运行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优化通风用电，提升能源利用效率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办公及辅助用电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1337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办公设备、消防系统等，负荷波动较小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合理管控辅助用电，无浪费现象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电力系统自身用电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1225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11.0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配电柜、监控系统等自身损耗，运行正常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系统损耗控制合理，符合绿建高效用能要求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三、运行状态及异常情况记录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（一）整体运行状态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运行周期内（2022年10月1日-10月31日），驻马店博物馆电力交互系统整体运行稳定，无重大故障、无停电情况，各项运行参数均在规范允许范围内：高压配电、低压配电系统运行正常，无过载、短路现象；光伏发电组件发电稳定，并网交互顺畅；储能装置充放电正常，调峰效果良好；智能监控系统数据采集完整、准确，运维人员每日进行设备巡检、数据核对，确保系统稳定运行，满足博物馆各类用电需求及绿建二星级评价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（二）异常情况记录及处理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本次运行周期内共出现1次轻微异常，及时处理完毕，无影响系统正常运行及用电安全，具体记录如下：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845"/>
        <w:gridCol w:w="1845"/>
        <w:gridCol w:w="1845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异常发生时间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异常现象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处理时间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处理措施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处理结果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2022年10月18日14:30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光伏并网模块电压轻微波动（波动范围±5V）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2022年10月18日14:45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运维人员检查并网接线，紧固松动端子，重启并网模块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电压恢复正常，系统运行稳定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补充说明：异常处理过程全程留痕，有运维记录、现场照片佐证，处理后系统运行参数恢复正常，未对电力交互及绿建评价相关数据造成影响，所有异常处理资料已归档留存，可接受核查。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四、运行总结及绿建评价适配说明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（一）运行总结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运行周期（2022年10月1日-10月31日），驻马店博物馆电力交互系统连续稳定运行31天，累计运行310小时，各项核心运行数据真实可核查、符合规范要求：市政电网供电稳定，光伏发电量达2180kWh，清洁能源利用率19.6%，储能装置充放电效率96.2%，系统运行效率92.3%，平均功率因数0.95，所有参数均满足设计及绿建二星级评价相关要求；分项用电负荷分配合理，文物保护、照明等核心用电需求得到有效保障，无电力浪费现象；系统仅出现1次轻微异常，处理及时有效，整体运行可靠性高，可长期稳定支撑博物馆正常运营及绿建评价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（二）绿建评价适配说明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本次电力交互系统运行记录及数据，完全契合《绿色建筑评价标准》（GB/T 50378-2019）绿建二星级评价中“节能与能源利用”“用电安全”相关指标要求，具体适配情况如下：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清洁能源利用：光伏发电量占总用电量的19.6%，实现了可再生能源的合理利用，满足绿建二星级评价中“可再生能源利用比例”相关要求，数据可直接用于绿建系统填报。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能源高效利用：系统运行效率92.3%，功率因数0.95，均达到规范及绿建评价要求，有效降低电网损耗及能源浪费，契合“能源高效管控”指标。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用电负荷管控：分项用电负荷分配合理，单位面积用电量2.29kWh/㎡·月，低于同类博物馆用电标准，无电力浪费现象，符合绿建“合理管控用电负荷”要求。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运行可靠性：系统运行稳定，无重大故障，异常情况处理及时，电力供应连续，满足博物馆文物保护、展览展示等核心功能的用电需求，契合绿建评价中“用电安全”相关要求。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五、真实性、合规性说明</w:t>
      </w:r>
      <w:bookmarkEnd w:id="11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本次电力交互系统运行记录所有数据均由智能监控系统实时采集、自动记录，运维人员每日人工核对，确保数据真实、准确、完整；运行记录、巡检记录、异常处理记录、监控数据截图等均完整留存，可通过现场核查、设备调取、资料查阅等方式验证，无虚构、篡改、遗漏情况，数据可追溯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运维单位具备相应电力运维资质，运维人员具备电力运维资格，系统运行及数据记录严格遵循《电力系统运行记录规范》《绿色建筑评价标准》及博物馆电力系统运维规程；电力交互系统已在驻马店市供电公司备案（备案编号：DL-BA-ZMD-20220925），运行过程合规，运行记录符合绿建二星级评价对专项佐证材料的相关要求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管理：本次运行相关资料（运行记录、巡检记录、异常处理记录、监控数据、设备参数资料、备案证明等）均采用“纸质打印+电子备份”双归档模式，电子档存储于驻马店博物馆专用服务器（服务器编号：BWG-FW-2022），纸质打印件装订成册（共2册，编号：YX-ZMD-BWG-20221001至20221002），可随时接受绿建评价部门、供电部门及相关监管单位的核查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责任说明：运行单位（驻马店博物馆）、运维单位（驻马店市恒信电力工程有限公司）对本次运行记录及数据的真实性、合规性负责，如发现数据存在虚构、篡改等情况，由双方共同承担全部相关责任；运维负责人、运行负责人对运行记录签字确认，确保记录可追溯、可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六、签字确认（佐证记录真实性）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驻马店市恒信电力工程有限公司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附件：1. 电力交互系统智能监控数据截图；2. 每日巡检记录；3. 异常处理记录及现场照片；4. 设备参数及备案证明；5. 运维人员资质证书；6. 光伏发电并网证明。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93382">
    <w:lvl>
      <w:start w:val="1"/>
      <w:numFmt w:val="decimal"/>
      <w:suff w:val="tab"/>
      <w:lvlText w:val="%1."/>
      <w:rPr>
        <w:color w:val="3370ff"/>
      </w:rPr>
    </w:lvl>
  </w:abstractNum>
  <w:abstractNum w:abstractNumId="793383">
    <w:lvl>
      <w:start w:val="2"/>
      <w:numFmt w:val="decimal"/>
      <w:suff w:val="tab"/>
      <w:lvlText w:val="%1."/>
      <w:rPr>
        <w:color w:val="3370ff"/>
      </w:rPr>
    </w:lvl>
  </w:abstractNum>
  <w:abstractNum w:abstractNumId="793384">
    <w:lvl>
      <w:start w:val="3"/>
      <w:numFmt w:val="decimal"/>
      <w:suff w:val="tab"/>
      <w:lvlText w:val="%1."/>
      <w:rPr>
        <w:color w:val="3370ff"/>
      </w:rPr>
    </w:lvl>
  </w:abstractNum>
  <w:abstractNum w:abstractNumId="793385">
    <w:lvl>
      <w:start w:val="4"/>
      <w:numFmt w:val="decimal"/>
      <w:suff w:val="tab"/>
      <w:lvlText w:val="%1."/>
      <w:rPr>
        <w:color w:val="3370ff"/>
      </w:rPr>
    </w:lvl>
  </w:abstractNum>
  <w:abstractNum w:abstractNumId="793386">
    <w:lvl>
      <w:start w:val="1"/>
      <w:numFmt w:val="decimal"/>
      <w:suff w:val="tab"/>
      <w:lvlText w:val="%1."/>
      <w:rPr>
        <w:color w:val="3370ff"/>
      </w:rPr>
    </w:lvl>
  </w:abstractNum>
  <w:abstractNum w:abstractNumId="793387">
    <w:lvl>
      <w:start w:val="2"/>
      <w:numFmt w:val="decimal"/>
      <w:suff w:val="tab"/>
      <w:lvlText w:val="%1."/>
      <w:rPr>
        <w:color w:val="3370ff"/>
      </w:rPr>
    </w:lvl>
  </w:abstractNum>
  <w:abstractNum w:abstractNumId="793388">
    <w:lvl>
      <w:start w:val="3"/>
      <w:numFmt w:val="decimal"/>
      <w:suff w:val="tab"/>
      <w:lvlText w:val="%1."/>
      <w:rPr>
        <w:color w:val="3370ff"/>
      </w:rPr>
    </w:lvl>
  </w:abstractNum>
  <w:abstractNum w:abstractNumId="793389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793382"/>
  </w:num>
  <w:num w:numId="2">
    <w:abstractNumId w:val="793383"/>
  </w:num>
  <w:num w:numId="3">
    <w:abstractNumId w:val="793384"/>
  </w:num>
  <w:num w:numId="4">
    <w:abstractNumId w:val="793385"/>
  </w:num>
  <w:num w:numId="5">
    <w:abstractNumId w:val="793386"/>
  </w:num>
  <w:num w:numId="6">
    <w:abstractNumId w:val="793387"/>
  </w:num>
  <w:num w:numId="7">
    <w:abstractNumId w:val="793388"/>
  </w:num>
  <w:num w:numId="8">
    <w:abstractNumId w:val="79338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2026-03-28T14:19:12Z</dcterms:created>
  <dc:creator>Apache POI</dc:creator>
</cp:coreProperties>
</file>