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</w:pPr>
      <w:bookmarkStart w:id="16" w:name="_GoBack"/>
      <w:r>
        <w:rPr>
          <w:rFonts w:ascii="Arial" w:hAnsi="Arial" w:eastAsia="等线" w:cs="Arial"/>
          <w:b/>
          <w:sz w:val="52"/>
        </w:rPr>
        <w:t>结构材料及幕墙性能检测报告</w:t>
      </w:r>
    </w:p>
    <w:bookmarkEnd w:id="16"/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一、检测报告总说明</w:t>
      </w:r>
      <w:bookmarkEnd w:id="0"/>
    </w:p>
    <w:p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1.1 项目基础信息</w:t>
      </w:r>
      <w:bookmarkEnd w:id="1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项目名称</w:t>
      </w:r>
      <w:r>
        <w:rPr>
          <w:rFonts w:ascii="Arial" w:hAnsi="Arial" w:eastAsia="等线" w:cs="Arial"/>
          <w:sz w:val="22"/>
        </w:rPr>
        <w:t>：辰光溯昔—基于豫南地区生态的博物馆绿色建筑设计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建设地点</w:t>
      </w:r>
      <w:r>
        <w:rPr>
          <w:rFonts w:ascii="Arial" w:hAnsi="Arial" w:eastAsia="等线" w:cs="Arial"/>
          <w:sz w:val="22"/>
        </w:rPr>
        <w:t>：河南省驻马店市驿城区练江大道与白桥路交叉口西南角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总用地面积</w:t>
      </w:r>
      <w:r>
        <w:rPr>
          <w:rFonts w:ascii="Arial" w:hAnsi="Arial" w:eastAsia="等线" w:cs="Arial"/>
          <w:sz w:val="22"/>
        </w:rPr>
        <w:t>：36612㎡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总建筑面积</w:t>
      </w:r>
      <w:r>
        <w:rPr>
          <w:rFonts w:ascii="Arial" w:hAnsi="Arial" w:eastAsia="等线" w:cs="Arial"/>
          <w:sz w:val="22"/>
        </w:rPr>
        <w:t>：18209.2㎡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建筑层数</w:t>
      </w:r>
      <w:r>
        <w:rPr>
          <w:rFonts w:ascii="Arial" w:hAnsi="Arial" w:eastAsia="等线" w:cs="Arial"/>
          <w:sz w:val="22"/>
        </w:rPr>
        <w:t>：地上3层，局部设备夹层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检测单位</w:t>
      </w:r>
      <w:r>
        <w:rPr>
          <w:rFonts w:ascii="Arial" w:hAnsi="Arial" w:eastAsia="等线" w:cs="Arial"/>
          <w:sz w:val="22"/>
        </w:rPr>
        <w:t>：河南省建筑工程质量检验测试中心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检测日期</w:t>
      </w:r>
      <w:r>
        <w:rPr>
          <w:rFonts w:ascii="Arial" w:hAnsi="Arial" w:eastAsia="等线" w:cs="Arial"/>
          <w:sz w:val="22"/>
        </w:rPr>
        <w:t>：2026年3月10日-2026年3月15日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报告编号</w:t>
      </w:r>
      <w:r>
        <w:rPr>
          <w:rFonts w:ascii="Arial" w:hAnsi="Arial" w:eastAsia="等线" w:cs="Arial"/>
          <w:sz w:val="22"/>
        </w:rPr>
        <w:t>：JD-JC-2026-0389</w:t>
      </w:r>
    </w:p>
    <w:p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1.2 检测范围与依据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本次检测针对项目</w:t>
      </w:r>
      <w:r>
        <w:rPr>
          <w:rFonts w:ascii="Arial" w:hAnsi="Arial" w:eastAsia="等线" w:cs="Arial"/>
          <w:b/>
          <w:sz w:val="22"/>
        </w:rPr>
        <w:t>主要结构用材料</w:t>
      </w:r>
      <w:r>
        <w:rPr>
          <w:rFonts w:ascii="Arial" w:hAnsi="Arial" w:eastAsia="等线" w:cs="Arial"/>
          <w:sz w:val="22"/>
        </w:rPr>
        <w:t>及</w:t>
      </w:r>
      <w:r>
        <w:rPr>
          <w:rFonts w:ascii="Arial" w:hAnsi="Arial" w:eastAsia="等线" w:cs="Arial"/>
          <w:b/>
          <w:sz w:val="22"/>
        </w:rPr>
        <w:t>建筑幕墙</w:t>
      </w:r>
      <w:r>
        <w:rPr>
          <w:rFonts w:ascii="Arial" w:hAnsi="Arial" w:eastAsia="等线" w:cs="Arial"/>
          <w:sz w:val="22"/>
        </w:rPr>
        <w:t>开展，核心覆盖：钢筋、混凝土、保温材料等结构主材性能检测；幕墙气密性、水密性、抗风压性、平面内变形性能四项关键指标检测。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检测依据：《绿色建筑评价标准》（GB/T 50378-2019）、《建筑幕墙》（GB/T 21086-2007）、《建筑幕墙气密、水密、抗风压性能检测方法》（GB/T 15227-2019）、《混凝土结构工程施工质量验收规范》（GB 50204-2015）、《钢筋混凝土用钢》（GB 1499.2-2018）、《建筑外墙外保温工程技术规程》（JGJ 144-2019）</w:t>
      </w:r>
    </w:p>
    <w:p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1.3 检测结论概述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主要结构用材料各项性能指标均符合规范设计要求，满足建筑结构承载力、耐久性使用需求；建筑幕墙四项性能指标均达到设计等级，满足绿建评价中围护结构安全、耐久、防护的强制性要求，检测结果合格，可用于工程施工与绿建评审。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二、主要结构用材料检测结果</w:t>
      </w:r>
      <w:bookmarkEnd w:id="4"/>
    </w:p>
    <w:p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2.1 混凝土材料检测</w:t>
      </w:r>
      <w:bookmarkEnd w:id="5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样品名称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设计强度等级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检测抗压强度（MPa）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抗渗等级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评定结果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框架柱/梁混凝土试块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C30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35.2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P6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楼板混凝土试块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C25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28.7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P6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检测说明：同条件养护试块、标准养护试块检测结果均满足设计及规范要求，混凝土密实度、耐久性达标，保障结构构件承载力与使用寿命。</w:t>
      </w:r>
    </w:p>
    <w:p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2.2 钢筋材料检测</w:t>
      </w:r>
      <w:bookmarkEnd w:id="6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样品名称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规格型号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屈服强度（MPa）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抗拉强度（MPa）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伸长率（%）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评定结果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HRB400E抗震钢筋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Φ16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425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580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17.5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HRB400E抗震钢筋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Φ20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430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595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18.2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HPB300箍筋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Φ8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320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460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25.3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检测说明：钢筋力学性能、抗震性能均满足规范要求，无脆断风险，适配结构受力与抗震设防需求，保障结构安全。</w:t>
      </w:r>
    </w:p>
    <w:p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2.3 围护结构保温材料检测</w:t>
      </w:r>
      <w:bookmarkEnd w:id="7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样品名称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导热系数（W/(m·K)）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燃烧性能等级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抗压强度（kPa）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评定结果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EPS模塑聚苯板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0.038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B1级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≥120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XPS挤塑聚苯板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0.029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B1级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≥280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检测说明：保温材料导热系数、防火性能、力学强度均满足设计及绿建节能要求，耐久性能达标，无脱落、变形隐患。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8" w:name="heading_8"/>
      <w:r>
        <w:rPr>
          <w:rFonts w:ascii="Arial" w:hAnsi="Arial" w:eastAsia="等线" w:cs="Arial"/>
          <w:b/>
          <w:sz w:val="36"/>
        </w:rPr>
        <w:t>三、建筑幕墙四项性能专项检测报告</w:t>
      </w:r>
      <w:bookmarkEnd w:id="8"/>
    </w:p>
    <w:p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3.1 幕墙基本参数</w:t>
      </w:r>
      <w:bookmarkEnd w:id="9"/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幕墙类型</w:t>
      </w:r>
      <w:r>
        <w:rPr>
          <w:rFonts w:ascii="Arial" w:hAnsi="Arial" w:eastAsia="等线" w:cs="Arial"/>
          <w:sz w:val="22"/>
        </w:rPr>
        <w:t>：断热铝合金框Low-E中空玻璃幕墙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幕墙规格</w:t>
      </w:r>
      <w:r>
        <w:rPr>
          <w:rFonts w:ascii="Arial" w:hAnsi="Arial" w:eastAsia="等线" w:cs="Arial"/>
          <w:sz w:val="22"/>
        </w:rPr>
        <w:t>：60系列型材，5+12A+5+12A+5三玻两腔中空玻璃</w:t>
      </w:r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检测批次</w:t>
      </w:r>
      <w:r>
        <w:rPr>
          <w:rFonts w:ascii="Arial" w:hAnsi="Arial" w:eastAsia="等线" w:cs="Arial"/>
          <w:sz w:val="22"/>
        </w:rPr>
        <w:t>：现场抽样送检，抽样数量3组</w:t>
      </w:r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设计性能等级</w:t>
      </w:r>
      <w:r>
        <w:rPr>
          <w:rFonts w:ascii="Arial" w:hAnsi="Arial" w:eastAsia="等线" w:cs="Arial"/>
          <w:sz w:val="22"/>
        </w:rPr>
        <w:t>：气密性6级、水密性4级、抗风压5级、平面内变形2级</w:t>
      </w:r>
    </w:p>
    <w:p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3.2 气密性性能检测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检测依据</w:t>
      </w:r>
      <w:r>
        <w:rPr>
          <w:rFonts w:ascii="Arial" w:hAnsi="Arial" w:eastAsia="等线" w:cs="Arial"/>
          <w:sz w:val="22"/>
        </w:rPr>
        <w:t>：GB/T 15227-2019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检测指标</w:t>
      </w:r>
      <w:r>
        <w:rPr>
          <w:rFonts w:ascii="Arial" w:hAnsi="Arial" w:eastAsia="等线" w:cs="Arial"/>
          <w:sz w:val="22"/>
        </w:rPr>
        <w:t>：单位缝长空气渗透量</w:t>
      </w:r>
      <m:oMath>
        <m:sSub>
          <m:sSubPr/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</m:oMath>
      <w:r>
        <w:rPr>
          <w:rFonts w:ascii="Arial" w:hAnsi="Arial" w:eastAsia="等线" w:cs="Arial"/>
          <w:sz w:val="22"/>
        </w:rPr>
        <w:t>、单位面积空气渗透量</w:t>
      </w:r>
      <m:oMath>
        <m:sSub>
          <m:sSubPr/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检测项目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检测值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规范限值（6级）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评定结果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单位缝长渗透量</w:t>
            </w:r>
            <m:oMath>
              <m:sSub>
                <m:sSubPr/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</m:oMath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0.32 m³/(m·h)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≤0.5 m³/(m·h)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单位面积渗透量</w:t>
            </w:r>
            <m:oMath>
              <m:sSub>
                <m:sSubPr/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oMath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0.85 m³/(㎡·h)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≤1.2 m³/(㎡·h)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检测结论：幕墙气密性达到设计6级要求，有效减少室外空气渗透，降低建筑能耗，满足绿建节能与密闭防护要求。</w:t>
      </w:r>
    </w:p>
    <w:p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3.3 水密性能检测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检测依据</w:t>
      </w:r>
      <w:r>
        <w:rPr>
          <w:rFonts w:ascii="Arial" w:hAnsi="Arial" w:eastAsia="等线" w:cs="Arial"/>
          <w:sz w:val="22"/>
        </w:rPr>
        <w:t>：GB/T 15227-2019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检测方法</w:t>
      </w:r>
      <w:r>
        <w:rPr>
          <w:rFonts w:ascii="Arial" w:hAnsi="Arial" w:eastAsia="等线" w:cs="Arial"/>
          <w:sz w:val="22"/>
        </w:rPr>
        <w:t>：稳定加压法，模拟暴雨天气工况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检测项目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检测压力值（Pa）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规范限值（4级）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渗漏情况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评定结果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幕墙水密性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750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≥700 Pa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无雨水渗漏、无结露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检测结论：幕墙水密性达到设计4级要求，可抵御豫南地区强降雨天气，无雨水渗漏隐患，满足围护结构防水防护要求。</w:t>
      </w:r>
    </w:p>
    <w:p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3.4 抗风压性能检测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检测依据</w:t>
      </w:r>
      <w:r>
        <w:rPr>
          <w:rFonts w:ascii="Arial" w:hAnsi="Arial" w:eastAsia="等线" w:cs="Arial"/>
          <w:sz w:val="22"/>
        </w:rPr>
        <w:t>：GB/T 15227-2019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检测指标</w:t>
      </w:r>
      <w:r>
        <w:rPr>
          <w:rFonts w:ascii="Arial" w:hAnsi="Arial" w:eastAsia="等线" w:cs="Arial"/>
          <w:sz w:val="22"/>
        </w:rPr>
        <w:t>：挠度值、面板及型材受力变形情况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检测项目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检测风压值（kPa）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最大挠度值（mm）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规范限值（5级）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评定结果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幕墙抗风压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18.6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≤L/180，无永久变形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检测结论：幕墙抗风压性能达到设计5级要求，可抵御驻马店地区最大风力荷载，构件无永久变形、无破损，满足结构安全防护要求。</w:t>
      </w:r>
    </w:p>
    <w:p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3.5 平面内变形性能检测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检测依据</w:t>
      </w:r>
      <w:r>
        <w:rPr>
          <w:rFonts w:ascii="Arial" w:hAnsi="Arial" w:eastAsia="等线" w:cs="Arial"/>
          <w:sz w:val="22"/>
        </w:rPr>
        <w:t>：GB/T 21086-2007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检测指标</w:t>
      </w:r>
      <w:r>
        <w:rPr>
          <w:rFonts w:ascii="Arial" w:hAnsi="Arial" w:eastAsia="等线" w:cs="Arial"/>
          <w:sz w:val="22"/>
        </w:rPr>
        <w:t>：层间位移角，模拟建筑层间变形工况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检测项目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设计位移角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检测位移角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破损情况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评定结果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平面内变形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1/300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1/280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面板、框架无破损、无脱落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检测结论：幕墙平面内变形性能达到设计2级要求，适配建筑层间位移与轻微变形，无开裂、脱落风险，满足抗震及耐久使用要求。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14" w:name="heading_14"/>
      <w:r>
        <w:rPr>
          <w:rFonts w:ascii="Arial" w:hAnsi="Arial" w:eastAsia="等线" w:cs="Arial"/>
          <w:b/>
          <w:sz w:val="36"/>
        </w:rPr>
        <w:t>四、综合检测评定结论</w:t>
      </w:r>
      <w:bookmarkEnd w:id="14"/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最终评定结果</w:t>
            </w:r>
          </w:p>
          <w:p>
            <w:pPr>
              <w:numPr>
                <w:ilvl w:val="0"/>
                <w:numId w:val="13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</w:t>
            </w:r>
            <w:r>
              <w:rPr>
                <w:rFonts w:ascii="Arial" w:hAnsi="Arial" w:eastAsia="等线" w:cs="Arial"/>
                <w:b/>
                <w:sz w:val="22"/>
              </w:rPr>
              <w:t>主要结构用材料</w:t>
            </w:r>
            <w:r>
              <w:rPr>
                <w:rFonts w:ascii="Arial" w:hAnsi="Arial" w:eastAsia="等线" w:cs="Arial"/>
                <w:sz w:val="22"/>
              </w:rPr>
              <w:t>（混凝土、钢筋、保温材料）各项性能指标均符合设计及国家规范要求，力学性能、耐久性能达标，完全满足建筑结构承载力与使用功能要求；</w:t>
            </w:r>
          </w:p>
          <w:p>
            <w:pPr>
              <w:numPr>
                <w:ilvl w:val="0"/>
                <w:numId w:val="14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建筑幕墙</w:t>
            </w:r>
            <w:r>
              <w:rPr>
                <w:rFonts w:ascii="Arial" w:hAnsi="Arial" w:eastAsia="等线" w:cs="Arial"/>
                <w:b/>
                <w:sz w:val="22"/>
              </w:rPr>
              <w:t>气密性、水密性、抗风压性、平面内变形性能</w:t>
            </w:r>
            <w:r>
              <w:rPr>
                <w:rFonts w:ascii="Arial" w:hAnsi="Arial" w:eastAsia="等线" w:cs="Arial"/>
                <w:sz w:val="22"/>
              </w:rPr>
              <w:t>四项指标均达到设计等级，满足绿建评价系统对围护结构安全、耐久、防护的强制性要求；</w:t>
            </w:r>
          </w:p>
          <w:p>
            <w:pPr>
              <w:numPr>
                <w:ilvl w:val="0"/>
                <w:numId w:val="15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本次检测数据真实有效，检测过程合规，可作为绿色建筑评价专项审核依据，本项目结构材料及幕墙系统评定为</w:t>
            </w:r>
            <w:r>
              <w:rPr>
                <w:rFonts w:ascii="Arial" w:hAnsi="Arial" w:eastAsia="等线" w:cs="Arial"/>
                <w:b/>
                <w:sz w:val="22"/>
              </w:rPr>
              <w:t>合格</w:t>
            </w:r>
            <w:r>
              <w:rPr>
                <w:rFonts w:ascii="Arial" w:hAnsi="Arial" w:eastAsia="等线" w:cs="Arial"/>
                <w:sz w:val="22"/>
              </w:rPr>
              <w:t>。</w:t>
            </w:r>
          </w:p>
        </w:tc>
      </w:tr>
    </w:tbl>
    <w:p>
      <w:pPr>
        <w:spacing w:before="120" w:after="120" w:line="288" w:lineRule="auto"/>
        <w:ind w:left="0"/>
        <w:jc w:val="left"/>
      </w:pPr>
      <w:bookmarkStart w:id="15" w:name="heading_15"/>
      <w:bookmarkEnd w:id="15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14"/>
  </w:num>
  <w:num w:numId="9">
    <w:abstractNumId w:val="7"/>
  </w:num>
  <w:num w:numId="10">
    <w:abstractNumId w:val="0"/>
  </w:num>
  <w:num w:numId="11">
    <w:abstractNumId w:val="10"/>
  </w:num>
  <w:num w:numId="12">
    <w:abstractNumId w:val="13"/>
  </w:num>
  <w:num w:numId="13">
    <w:abstractNumId w:val="3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6466233"/>
    <w:rsid w:val="26466F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2026-03-23T04:40:00Z</dcterms:created>
  <dc:creator>Apache POI</dc:creator>
  <cp:lastModifiedBy>hp</cp:lastModifiedBy>
  <dcterms:modified xsi:type="dcterms:W3CDTF">2026-03-23T04:57:45Z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