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人车分流及照明照度检测报告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检测类别</w:t>
      </w:r>
      <w:r>
        <w:rPr>
          <w:rFonts w:ascii="Arial" w:hAnsi="Arial" w:eastAsia="等线" w:cs="Arial"/>
          <w:sz w:val="22"/>
        </w:rPr>
        <w:t>：绿建评价人车分流及交通照明专项检测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检测对象</w:t>
      </w:r>
      <w:r>
        <w:rPr>
          <w:rFonts w:ascii="Arial" w:hAnsi="Arial" w:eastAsia="等线" w:cs="Arial"/>
          <w:sz w:val="22"/>
        </w:rPr>
        <w:t>：场地人车分流实施情况、步行/自行车道照明照度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：HN-JK-ZM-2026-053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现场检测日期</w:t>
      </w:r>
      <w:r>
        <w:rPr>
          <w:rFonts w:ascii="Arial" w:hAnsi="Arial" w:eastAsia="等线" w:cs="Arial"/>
          <w:sz w:val="22"/>
        </w:rPr>
        <w:t>：2026年3月21日（夜间20:00-21:30）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绿建评分对应项</w:t>
      </w:r>
      <w:r>
        <w:rPr>
          <w:rFonts w:ascii="Arial" w:hAnsi="Arial" w:eastAsia="等线" w:cs="Arial"/>
          <w:sz w:val="22"/>
        </w:rPr>
        <w:t>：人车分流+步行自行车交通充足照明，评价分值8分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50378-2019、《建筑照明设计标准》GB 50034-2013、《城市道路照明设计标准》CJJ 45-2015、《室外步行环境设计标准》GB/T 38356-2019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二、项目人车分流措施概况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本项目严格落实人车分流设计，彻底分离机动车、行人、自行车通行流线，消除交通混行安全隐患，具体布局如下：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机动车流线</w:t>
      </w:r>
      <w:r>
        <w:rPr>
          <w:rFonts w:ascii="Arial" w:hAnsi="Arial" w:eastAsia="等线" w:cs="Arial"/>
          <w:sz w:val="22"/>
        </w:rPr>
        <w:t>：场地西侧设置独立机动车出入口，内部规划环形车行通道，配套地下车库，机动车全程不进入步行核心区，车行路线与步行区完全隔离。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步行/自行车流线</w:t>
      </w:r>
      <w:r>
        <w:rPr>
          <w:rFonts w:ascii="Arial" w:hAnsi="Arial" w:eastAsia="等线" w:cs="Arial"/>
          <w:sz w:val="22"/>
        </w:rPr>
        <w:t>：沿场地东侧、南侧设置专属步行道与自行车道，贯通主入口、景观广场、建筑出入口、停车区，路线连续无断点，宽度满足通行需求；自行车专属停放区紧邻步行道，便捷可达。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隔离措施</w:t>
      </w:r>
      <w:r>
        <w:rPr>
          <w:rFonts w:ascii="Arial" w:hAnsi="Arial" w:eastAsia="等线" w:cs="Arial"/>
          <w:sz w:val="22"/>
        </w:rPr>
        <w:t>：车行区与步行区采用绿化隔离带、路缘石、防护护栏物理分隔，设置清晰交通标识，实现人车完全分流，保障步行、骑行安全。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三、步行与自行车道照明系统概况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步行道、自行车道全线配备LED节能照明灯具，采用庭院灯、步道灯组合布局，灯具间距均匀、布置合理，夜间照明连续无暗区，照度满足规范及通行需求，配套智能时控开关，保障夜间充足照明。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四、照明照度现场检测结果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4.1 检测仪器与方法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</w:t>
      </w:r>
      <w:r>
        <w:rPr>
          <w:rFonts w:ascii="Arial" w:hAnsi="Arial" w:eastAsia="等线" w:cs="Arial"/>
          <w:b/>
          <w:sz w:val="22"/>
        </w:rPr>
        <w:t>TES-1339专业照度计</w:t>
      </w:r>
      <w:r>
        <w:rPr>
          <w:rFonts w:ascii="Arial" w:hAnsi="Arial" w:eastAsia="等线" w:cs="Arial"/>
          <w:sz w:val="22"/>
        </w:rPr>
        <w:t>（经校准合格），按照规范要求选取步行道、自行车道关键点位，夜间额定照明状态下实测平均照度、最小照度、照度均匀度，数据真实有效。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4.2 照度检测明细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检测区域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灯具类型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规范平均照度要求（lx）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实测平均照度（lx）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实测最小照度（lx）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照度均匀度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主入口步行广场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LED庭院灯（30W）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核心步行通道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LED步道灯（20W）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自行车专用道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LED庭院灯+壁灯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自行车停放区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LED投光灯（25W）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次要步行支路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LED步道灯（15W）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五、综合检测结论</w:t>
      </w:r>
      <w:bookmarkEnd w:id="6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经现场核查与检测，本项目已</w:t>
            </w:r>
            <w:r>
              <w:rPr>
                <w:rFonts w:ascii="Arial" w:hAnsi="Arial" w:eastAsia="等线" w:cs="Arial"/>
                <w:b/>
                <w:sz w:val="22"/>
              </w:rPr>
              <w:t>完整落实人车分流措施</w:t>
            </w:r>
            <w:r>
              <w:rPr>
                <w:rFonts w:ascii="Arial" w:hAnsi="Arial" w:eastAsia="等线" w:cs="Arial"/>
                <w:sz w:val="22"/>
              </w:rPr>
              <w:t>，机动车与步行、自行车流线完全隔离，交通组织清晰；步行道、自行车道及配套区域</w:t>
            </w:r>
            <w:r>
              <w:rPr>
                <w:rFonts w:ascii="Arial" w:hAnsi="Arial" w:eastAsia="等线" w:cs="Arial"/>
                <w:b/>
                <w:sz w:val="22"/>
              </w:rPr>
              <w:t>照明充足</w:t>
            </w:r>
            <w:r>
              <w:rPr>
                <w:rFonts w:ascii="Arial" w:hAnsi="Arial" w:eastAsia="等线" w:cs="Arial"/>
                <w:sz w:val="22"/>
              </w:rPr>
              <w:t>，实测照度、均匀度均满足国家规范要求，无照明暗区。完全符合《绿色建筑评价标准》GB/T 50378-2019对应评分要求，</w:t>
            </w:r>
            <w:r>
              <w:rPr>
                <w:rFonts w:ascii="Arial" w:hAnsi="Arial" w:eastAsia="等线" w:cs="Arial"/>
                <w:b/>
                <w:sz w:val="22"/>
              </w:rPr>
              <w:t>获得人车分流及交通照明评价分值8分</w:t>
            </w:r>
            <w:r>
              <w:rPr>
                <w:rFonts w:ascii="Arial" w:hAnsi="Arial" w:eastAsia="等线" w:cs="Arial"/>
                <w:sz w:val="22"/>
              </w:rPr>
              <w:t>，本报告可作为绿建评审有效佐证材料。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7" w:name="_GoBack"/>
      <w:bookmarkEnd w:id="7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6A77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2026-03-23T07:18:00Z</dcterms:created>
  <dc:creator>Apache POI</dc:creator>
  <cp:lastModifiedBy>hp</cp:lastModifiedBy>
  <dcterms:modified xsi:type="dcterms:W3CDTF">2026-03-23T07:19:09Z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