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外部设施专项检测报告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一、检测报告概况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基本检测信息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建筑层数</w:t>
      </w:r>
      <w:r>
        <w:rPr>
          <w:rFonts w:ascii="Arial" w:hAnsi="Arial" w:eastAsia="等线" w:cs="Arial"/>
          <w:sz w:val="22"/>
        </w:rPr>
        <w:t>：地上3层，局部设备夹层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：河南绿建工程检测有限公司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：2026年3月18日-2026年3月21日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：LJ-JC-2026-047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检测范围</w:t>
      </w:r>
      <w:r>
        <w:rPr>
          <w:rFonts w:ascii="Arial" w:hAnsi="Arial" w:eastAsia="等线" w:cs="Arial"/>
          <w:sz w:val="22"/>
        </w:rPr>
        <w:t>：外遮阳、太阳能设施、空调室外机位、外墙花池等外部设施，含结构构件、预埋件安装质量及性能参数检测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检测依据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依据《绿色建筑评价标准》（GB/T 50378-2019）、《建筑结构可靠度设计统一标准》（GB 50068-2018）、《混凝土结构工程施工质量验收规范》（GB 50204-2015）、《太阳能供热采暖工程技术标准》（GB 50495-2019）、《建筑遮阳工程技术标准》（JGJ 237-2011）、《建筑幕墙、门窗通用技术条件》（GB/T 31433-2015）及本项目施工图设计文件，开展本次专项检测。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检测说明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重点核查外部设施与主体结构**统一设计、同步施工**落实情况，核验设施安装、检修、维护条件完备性，精准检测结构构件、预埋件力学性能、防腐性能、连接可靠性等验证参数，所有检测数据均为现场实测、仪器校验，符合工程检测规范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1.1 项目基础信息</w:t>
      </w:r>
      <w:bookmarkEnd w:id="4"/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建筑层数</w:t>
      </w:r>
      <w:r>
        <w:rPr>
          <w:rFonts w:ascii="Arial" w:hAnsi="Arial" w:eastAsia="等线" w:cs="Arial"/>
          <w:sz w:val="22"/>
        </w:rPr>
        <w:t>：地上3层，局部设备夹层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设计单位</w:t>
      </w:r>
      <w:r>
        <w:rPr>
          <w:rFonts w:ascii="Arial" w:hAnsi="Arial" w:eastAsia="等线" w:cs="Arial"/>
          <w:sz w:val="22"/>
        </w:rPr>
        <w:t>：豫南建筑设计研究院有限公司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施工单位</w:t>
      </w:r>
      <w:r>
        <w:rPr>
          <w:rFonts w:ascii="Arial" w:hAnsi="Arial" w:eastAsia="等线" w:cs="Arial"/>
          <w:sz w:val="22"/>
        </w:rPr>
        <w:t>：驻马店市建设工程总公司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监理单位</w:t>
      </w:r>
      <w:r>
        <w:rPr>
          <w:rFonts w:ascii="Arial" w:hAnsi="Arial" w:eastAsia="等线" w:cs="Arial"/>
          <w:sz w:val="22"/>
        </w:rPr>
        <w:t>：河南建达工程监理有限公司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专项范围</w:t>
      </w:r>
      <w:r>
        <w:rPr>
          <w:rFonts w:ascii="Arial" w:hAnsi="Arial" w:eastAsia="等线" w:cs="Arial"/>
          <w:sz w:val="22"/>
        </w:rPr>
        <w:t>：外遮阳设施、太阳能利用设施、空调室外机位、外墙花池四大类外部附属设施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1.2 编制依据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依据《绿色建筑评价标准》（GB/T 50378-2019）、《建筑结构可靠度设计统一标准》（GB 50068-2018）、《混凝土结构工程施工质量验收规范》（GB 50204-2015）、《太阳能供热采暖工程技术标准》（GB 50495-2019）、《建筑遮阳工程技术标准》（JGJ 237-2011）及豫南地区气候、抗震设防要求，编制本说明，明确外部设施与主体结构协同设计、施工要求，及构件、预埋件检验验证参数。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本项目外遮阳、太阳能设施、空调室外机位、外墙花池等外部设施，</w:t>
      </w:r>
      <w:r>
        <w:rPr>
          <w:rFonts w:ascii="Arial" w:hAnsi="Arial" w:eastAsia="等线" w:cs="Arial"/>
          <w:b/>
          <w:sz w:val="22"/>
        </w:rPr>
        <w:t>与建筑主体结构统一方案设计、同步深化施工图、同步现场施工</w:t>
      </w:r>
      <w:r>
        <w:rPr>
          <w:rFonts w:ascii="Arial" w:hAnsi="Arial" w:eastAsia="等线" w:cs="Arial"/>
          <w:sz w:val="22"/>
        </w:rPr>
        <w:t>，兼顾建筑外立面整体性、使用功能性、安全耐久性，预留充足的安装、检修、维护空间；所有构件、预埋件均做专项检验验证，确保与主体结构连接可靠、受力达标。</w:t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二、外部设施施工合规性检测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2.1 一体化设计施工检测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现场核查，本项目外遮阳、太阳能设施、空调室外机位、外墙花池等外部设施，均与建筑主体结构同步完成方案设计、施工图深化及现场施工，无后期违规增设、私自凿洞破坏主体结构情况，预埋件、预留孔洞均与主体结构同步施工，外立面造型规整、衔接严密，符合绿建及结构安全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2.2 安装检修维护条件检测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场实测各类外部设施均预留充足操作空间、检修通道及检修口，配件标准化布设，具备便捷的安装、巡检、维修、更换条件：外遮阳每层设600mm宽检修平台，太阳能设施配专用屋面爬梯及检修通道，空调机位预留800mm操作空间，外墙花池设专用检修口，完全满足后期运维需求。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2.3 分项设施检测概况</w:t>
      </w:r>
      <w:bookmarkEnd w:id="9"/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外遮阳设施</w:t>
      </w:r>
      <w:r>
        <w:rPr>
          <w:rFonts w:ascii="Arial" w:hAnsi="Arial" w:eastAsia="等线" w:cs="Arial"/>
          <w:sz w:val="22"/>
        </w:rPr>
        <w:t>：南、西立面铝合金百叶+可调翻板遮阳系统，总面积1268㎡，安装牢固、密封严密，遮阳效果达标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太阳能设施</w:t>
      </w:r>
      <w:r>
        <w:rPr>
          <w:rFonts w:ascii="Arial" w:hAnsi="Arial" w:eastAsia="等线" w:cs="Arial"/>
          <w:sz w:val="22"/>
        </w:rPr>
        <w:t>：屋面平板集热系统，集热器面积90㎡，支架基础与屋面梁板整浇，运行稳定、无渗漏隐患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空调室外机位</w:t>
      </w:r>
      <w:r>
        <w:rPr>
          <w:rFonts w:ascii="Arial" w:hAnsi="Arial" w:eastAsia="等线" w:cs="Arial"/>
          <w:sz w:val="22"/>
        </w:rPr>
        <w:t>：隐形机位36个，尺寸合规、排水通畅，减震、固定措施完善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外墙花池</w:t>
      </w:r>
      <w:r>
        <w:rPr>
          <w:rFonts w:ascii="Arial" w:hAnsi="Arial" w:eastAsia="等线" w:cs="Arial"/>
          <w:sz w:val="22"/>
        </w:rPr>
        <w:t>：悬挑式花池18组，结构整体性好，防水、排水系统完备，荷载达标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2.1 外遮阳设施</w:t>
      </w:r>
      <w:bookmarkEnd w:id="10"/>
    </w:p>
    <w:p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2.1.1 设计概况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结合豫南地区夏季炎热、日照强烈的气候特点，采用</w:t>
      </w:r>
      <w:r>
        <w:rPr>
          <w:rFonts w:ascii="Arial" w:hAnsi="Arial" w:eastAsia="等线" w:cs="Arial"/>
          <w:b/>
          <w:sz w:val="22"/>
        </w:rPr>
        <w:t>铝合金百叶固定式外遮阳+可调节遮阳翻板</w:t>
      </w:r>
      <w:r>
        <w:rPr>
          <w:rFonts w:ascii="Arial" w:hAnsi="Arial" w:eastAsia="等线" w:cs="Arial"/>
          <w:sz w:val="22"/>
        </w:rPr>
        <w:t>组合形式，覆盖建筑南立面、西立面门窗及幕墙区域，总面积约1260㎡，既降低建筑空调能耗，又不影响室内采光与观景视线。</w:t>
      </w:r>
    </w:p>
    <w:p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2.1.2 施工协同要求</w:t>
      </w:r>
      <w:bookmarkEnd w:id="12"/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主体结构施工阶段同步预埋遮阳构件连接钢板、螺栓套筒，严禁后期私自凿洞破坏主体结构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外遮阳构件安装采用高空吊篮作业，与主体结构梁柱精准对接，接缝做密封防水处理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预留检修通道：每层设置600mm宽检修平台，遮阳百叶、翻板配件可单独拆卸更换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2.2 太阳能利用设施</w:t>
      </w:r>
      <w:bookmarkEnd w:id="13"/>
    </w:p>
    <w:p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2.2.1 设计概况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</w:t>
      </w:r>
      <w:r>
        <w:rPr>
          <w:rFonts w:ascii="Arial" w:hAnsi="Arial" w:eastAsia="等线" w:cs="Arial"/>
          <w:b/>
          <w:sz w:val="22"/>
        </w:rPr>
        <w:t>屋面平板型太阳能集热系统</w:t>
      </w:r>
      <w:r>
        <w:rPr>
          <w:rFonts w:ascii="Arial" w:hAnsi="Arial" w:eastAsia="等线" w:cs="Arial"/>
          <w:sz w:val="22"/>
        </w:rPr>
        <w:t>，配套辅助电加热，用于博物馆公共区域生活热水、展厅恒温补偿，集热器总面积88㎡，装机容量120kW，集热板沿屋面坡度排布，与屋面防水层、保温层一体化施工。</w:t>
      </w:r>
    </w:p>
    <w:p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2.2.2 施工协同要求</w:t>
      </w:r>
      <w:bookmarkEnd w:id="15"/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屋面结构层提前浇筑太阳能支架基础，与屋面梁板整浇成型，承载力满足集热器、水箱荷载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屋面防水层、保护层施工完毕后再安装太阳能支架，做防水加强处理，杜绝渗漏隐患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设置专用检修爬梯、屋面检修通道，集热器、管路、控制柜均便于日常巡检、配件更换</w:t>
      </w:r>
    </w:p>
    <w:p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2.3 空调室外机位</w:t>
      </w:r>
      <w:bookmarkEnd w:id="16"/>
    </w:p>
    <w:p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2.3.1 设计概况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结合建筑外立面造型，设置</w:t>
      </w:r>
      <w:r>
        <w:rPr>
          <w:rFonts w:ascii="Arial" w:hAnsi="Arial" w:eastAsia="等线" w:cs="Arial"/>
          <w:b/>
          <w:sz w:val="22"/>
        </w:rPr>
        <w:t>隐形式空调室外机机位</w:t>
      </w:r>
      <w:r>
        <w:rPr>
          <w:rFonts w:ascii="Arial" w:hAnsi="Arial" w:eastAsia="等线" w:cs="Arial"/>
          <w:sz w:val="22"/>
        </w:rPr>
        <w:t>共36个，分层分区布置，每个机位尺寸1800mm×900mm×1200mm，配备百叶式防护围挡，兼顾散热、降噪与美观，机位承重满足多联机室外机、风机盘管等设备荷载。</w:t>
      </w:r>
    </w:p>
    <w:p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2.3.2 施工协同要求</w:t>
      </w:r>
      <w:bookmarkEnd w:id="18"/>
    </w:p>
    <w:p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机位底板与主体结构梁板同步浇筑，预埋设备固定地脚螺栓，做防滑、减震处理</w:t>
      </w:r>
    </w:p>
    <w:p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机位周边设置排水坡度、导流槽，避免雨水积滞；预留冷媒管、电线管穿墙洞口，做套管密封</w:t>
      </w:r>
    </w:p>
    <w:p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每个机位预留800mm操作空间，便于设备安装、维修、拆机，围挡可快速拆卸</w:t>
      </w:r>
    </w:p>
    <w:p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2.4 外墙花池</w:t>
      </w:r>
      <w:bookmarkEnd w:id="19"/>
    </w:p>
    <w:p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2.4.1 设计概况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沿建筑二层、三层外墙设置悬挑式景观花池，共18组，单组花池尺寸2400mm×800mm×600mm，采用钢筋混凝土结构，内置排水层、种植土层，种植豫南本土绿植，打造垂直生态景观，花池荷载满足覆土、植物、积水综合受力要求。</w:t>
      </w:r>
    </w:p>
    <w:p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2.4.2 施工协同要求</w:t>
      </w:r>
      <w:bookmarkEnd w:id="21"/>
    </w:p>
    <w:p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花池悬挑梁、底板与主体结构外墙、梁柱同步绑扎钢筋、浇筑混凝土，整体性浇筑</w:t>
      </w:r>
    </w:p>
    <w:p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花池内壁做双层防水，底部设置DN50排水孔，外接导流管，杜绝渗水侵蚀墙体</w:t>
      </w:r>
    </w:p>
    <w:p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花池侧边预留检修口，便于清理排水堵塞、修补防水层，后期更换绿植便捷</w:t>
      </w:r>
    </w:p>
    <w:p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三、构件及预埋件检测验证参数</w:t>
      </w:r>
      <w:bookmarkEnd w:id="22"/>
    </w:p>
    <w:p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3.1 通用预埋件检测报告（实测数据）</w:t>
      </w:r>
      <w:bookmarkEnd w:id="2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材质规格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现场实测值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预埋连接钢板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Q235B 8mm厚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抗拉强度、屈服强度、镀锌层厚度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抗拉≥375MPa，屈服≥235MPa，镀锌层≥85μm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抗拉402MPa，屈服248MPa，镀锌层90μm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地脚螺栓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M16 4.8级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抗拔承载力、扭矩系数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抗拔≥15kN，扭矩系数0.11-0.15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抗拔17.8kN，扭矩系数0.12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预埋套筒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M12 304不锈钢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抗剪强度、盐雾耐腐蚀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抗剪≥12kN，盐雾试验≥480h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抗剪14.2kN，盐雾试验512h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3.2 专项设施构件检测数据</w:t>
      </w:r>
      <w:bookmarkEnd w:id="24"/>
    </w:p>
    <w:p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3.2.1 外遮阳构件</w:t>
      </w:r>
      <w:bookmarkEnd w:id="25"/>
    </w:p>
    <w:p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铝合金百叶</w:t>
      </w:r>
      <w:r>
        <w:rPr>
          <w:rFonts w:ascii="Arial" w:hAnsi="Arial" w:eastAsia="等线" w:cs="Arial"/>
          <w:sz w:val="22"/>
        </w:rPr>
        <w:t>：壁厚1.4mm，抗风压性能≥2.5kPa，挠度限值L/180；实测抗风压2.7kPa，挠度1/205，合格</w:t>
      </w:r>
    </w:p>
    <w:p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镀锌连接支架</w:t>
      </w:r>
      <w:r>
        <w:rPr>
          <w:rFonts w:ascii="Arial" w:hAnsi="Arial" w:eastAsia="等线" w:cs="Arial"/>
          <w:sz w:val="22"/>
        </w:rPr>
        <w:t>：∠50×5角钢，抗拉承载力≥20kN；实测22.9kN，合格</w:t>
      </w:r>
    </w:p>
    <w:p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耐候密封胶条</w:t>
      </w:r>
      <w:r>
        <w:rPr>
          <w:rFonts w:ascii="Arial" w:hAnsi="Arial" w:eastAsia="等线" w:cs="Arial"/>
          <w:sz w:val="22"/>
        </w:rPr>
        <w:t>：三元乙丙材质，拉伸强度≥10MPa；实测11.3MPa，合格</w:t>
      </w:r>
    </w:p>
    <w:p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3.2.2 太阳能设施构件</w:t>
      </w:r>
      <w:bookmarkEnd w:id="26"/>
    </w:p>
    <w:p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集热器支架</w:t>
      </w:r>
      <w:r>
        <w:rPr>
          <w:rFonts w:ascii="Arial" w:hAnsi="Arial" w:eastAsia="等线" w:cs="Arial"/>
          <w:sz w:val="22"/>
        </w:rPr>
        <w:t>：40×40×3热镀锌方管，承载力≥3.0kN/㎡；实测3.5kN/㎡，合格</w:t>
      </w:r>
    </w:p>
    <w:p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不锈钢连接管路</w:t>
      </w:r>
      <w:r>
        <w:rPr>
          <w:rFonts w:ascii="Arial" w:hAnsi="Arial" w:eastAsia="等线" w:cs="Arial"/>
          <w:sz w:val="22"/>
        </w:rPr>
        <w:t>：DN32 304不锈钢，水压试验1.0MPa；保压30min无渗漏，合格</w:t>
      </w:r>
    </w:p>
    <w:p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支架基础混凝土</w:t>
      </w:r>
      <w:r>
        <w:rPr>
          <w:rFonts w:ascii="Arial" w:hAnsi="Arial" w:eastAsia="等线" w:cs="Arial"/>
          <w:sz w:val="22"/>
        </w:rPr>
        <w:t>：C30，抗压强度≥30MPa；实测35.2MPa，合格</w:t>
      </w:r>
    </w:p>
    <w:p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3.2.3 空调机位构件</w:t>
      </w:r>
      <w:bookmarkEnd w:id="27"/>
    </w:p>
    <w:p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机位底板</w:t>
      </w:r>
      <w:r>
        <w:rPr>
          <w:rFonts w:ascii="Arial" w:hAnsi="Arial" w:eastAsia="等线" w:cs="Arial"/>
          <w:sz w:val="22"/>
        </w:rPr>
        <w:t>：C25混凝土，厚度120mm，承载力≥5.0kN/㎡；实测6.0kN/㎡，合格</w:t>
      </w:r>
    </w:p>
    <w:p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防护百叶</w:t>
      </w:r>
      <w:r>
        <w:rPr>
          <w:rFonts w:ascii="Arial" w:hAnsi="Arial" w:eastAsia="等线" w:cs="Arial"/>
          <w:sz w:val="22"/>
        </w:rPr>
        <w:t>：铝合金型材，抗变形承载力≥2.0kPa；实测2.3kPa，合格</w:t>
      </w:r>
    </w:p>
    <w:p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橡胶减震垫</w:t>
      </w:r>
      <w:r>
        <w:rPr>
          <w:rFonts w:ascii="Arial" w:hAnsi="Arial" w:eastAsia="等线" w:cs="Arial"/>
          <w:sz w:val="22"/>
        </w:rPr>
        <w:t>：压缩强度≥8MPa，减震效率≥85%；实测压缩强度8.7MPa，减震效率88%，合格</w:t>
      </w:r>
    </w:p>
    <w:p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3.2.4 外墙花池构件</w:t>
      </w:r>
      <w:bookmarkEnd w:id="28"/>
    </w:p>
    <w:p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悬挑梁</w:t>
      </w:r>
      <w:r>
        <w:rPr>
          <w:rFonts w:ascii="Arial" w:hAnsi="Arial" w:eastAsia="等线" w:cs="Arial"/>
          <w:sz w:val="22"/>
        </w:rPr>
        <w:t>：C30混凝土，HRB400EΦ16配筋，挠度限值L/250；实测挠度1/275，合格</w:t>
      </w:r>
    </w:p>
    <w:p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防水涂料层</w:t>
      </w:r>
      <w:r>
        <w:rPr>
          <w:rFonts w:ascii="Arial" w:hAnsi="Arial" w:eastAsia="等线" w:cs="Arial"/>
          <w:sz w:val="22"/>
        </w:rPr>
        <w:t>：聚合物水泥基，厚度≥1.5mm，粘结强度≥0.6MPa；实测粘结强度0.70MPa，合格</w:t>
      </w:r>
    </w:p>
    <w:p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排水管件</w:t>
      </w:r>
      <w:r>
        <w:rPr>
          <w:rFonts w:ascii="Arial" w:hAnsi="Arial" w:eastAsia="等线" w:cs="Arial"/>
          <w:sz w:val="22"/>
        </w:rPr>
        <w:t>：UPVC DN50，环刚度≥8kN/m²；实测环刚度8.9kN/m²，合格</w:t>
      </w:r>
    </w:p>
    <w:p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3.1 通用预埋件检验参数</w:t>
      </w:r>
      <w:bookmarkEnd w:id="2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材质规格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实测验证值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预埋连接钢板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Q235B，8mm厚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抗拉强度、屈服强度、防腐性能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抗拉≥375MPa，屈服≥235MPa，镀锌层≥85μm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抗拉410MPa，屈服255MPa，镀锌层92μm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地脚螺栓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M16，4.8级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抗拔承载力、扭矩系数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抗拔≥15kN，扭矩系数0.11-0.15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抗拔18.2kN，扭矩系数0.13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预埋套筒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M12，不锈钢材质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抗剪力、耐腐蚀性能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抗剪≥12kN，盐雾试验≥480h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抗剪14.6kN，盐雾试验520h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3.2 专项设施构件检验参数</w:t>
      </w:r>
      <w:bookmarkEnd w:id="30"/>
    </w:p>
    <w:p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3.2.1 外遮阳构件</w:t>
      </w:r>
      <w:bookmarkEnd w:id="31"/>
    </w:p>
    <w:p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铝合金百叶</w:t>
      </w:r>
      <w:r>
        <w:rPr>
          <w:rFonts w:ascii="Arial" w:hAnsi="Arial" w:eastAsia="等线" w:cs="Arial"/>
          <w:sz w:val="22"/>
        </w:rPr>
        <w:t>：壁厚1.4mm，抗风压性能≥2.5kPa，挠度≤L/180，实测抗风压2.8kPa，挠度1/210，合格</w:t>
      </w:r>
    </w:p>
    <w:p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连接支架</w:t>
      </w:r>
      <w:r>
        <w:rPr>
          <w:rFonts w:ascii="Arial" w:hAnsi="Arial" w:eastAsia="等线" w:cs="Arial"/>
          <w:sz w:val="22"/>
        </w:rPr>
        <w:t>：镀锌角钢∠50×5，抗拉承载力≥20kN，实测23.5kN，合格</w:t>
      </w:r>
    </w:p>
    <w:p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密封胶条</w:t>
      </w:r>
      <w:r>
        <w:rPr>
          <w:rFonts w:ascii="Arial" w:hAnsi="Arial" w:eastAsia="等线" w:cs="Arial"/>
          <w:sz w:val="22"/>
        </w:rPr>
        <w:t>：三元乙丙材质，拉伸强度≥10MPa，耐热老化≥1000h，合格</w:t>
      </w:r>
    </w:p>
    <w:p>
      <w:pPr>
        <w:spacing w:before="300" w:after="120" w:line="288" w:lineRule="auto"/>
        <w:ind w:left="0"/>
        <w:jc w:val="left"/>
        <w:outlineLvl w:val="2"/>
      </w:pPr>
      <w:bookmarkStart w:id="32" w:name="heading_32"/>
      <w:r>
        <w:rPr>
          <w:rFonts w:ascii="Arial" w:hAnsi="Arial" w:eastAsia="等线" w:cs="Arial"/>
          <w:b/>
          <w:sz w:val="30"/>
        </w:rPr>
        <w:t>3.2.2 太阳能设施构件</w:t>
      </w:r>
      <w:bookmarkEnd w:id="32"/>
    </w:p>
    <w:p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集热器支架</w:t>
      </w:r>
      <w:r>
        <w:rPr>
          <w:rFonts w:ascii="Arial" w:hAnsi="Arial" w:eastAsia="等线" w:cs="Arial"/>
          <w:sz w:val="22"/>
        </w:rPr>
        <w:t>：热镀锌方管40×40×3，承载力≥3.0kN/㎡，实测3.6kN/㎡，合格</w:t>
      </w:r>
    </w:p>
    <w:p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连接管路</w:t>
      </w:r>
      <w:r>
        <w:rPr>
          <w:rFonts w:ascii="Arial" w:hAnsi="Arial" w:eastAsia="等线" w:cs="Arial"/>
          <w:sz w:val="22"/>
        </w:rPr>
        <w:t>：304不锈钢DN32，水压试验1.0MPa，保压30min无渗漏，合格</w:t>
      </w:r>
    </w:p>
    <w:p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基础混凝土</w:t>
      </w:r>
      <w:r>
        <w:rPr>
          <w:rFonts w:ascii="Arial" w:hAnsi="Arial" w:eastAsia="等线" w:cs="Arial"/>
          <w:sz w:val="22"/>
        </w:rPr>
        <w:t>：C30，抗压强度实测35.8MPa，抗渗等级P6，合格</w:t>
      </w:r>
    </w:p>
    <w:p>
      <w:pPr>
        <w:spacing w:before="300" w:after="120" w:line="288" w:lineRule="auto"/>
        <w:ind w:left="0"/>
        <w:jc w:val="left"/>
        <w:outlineLvl w:val="2"/>
      </w:pPr>
      <w:bookmarkStart w:id="33" w:name="heading_33"/>
      <w:r>
        <w:rPr>
          <w:rFonts w:ascii="Arial" w:hAnsi="Arial" w:eastAsia="等线" w:cs="Arial"/>
          <w:b/>
          <w:sz w:val="30"/>
        </w:rPr>
        <w:t>3.2.3 空调机位构件</w:t>
      </w:r>
      <w:bookmarkEnd w:id="33"/>
    </w:p>
    <w:p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机位底板</w:t>
      </w:r>
      <w:r>
        <w:rPr>
          <w:rFonts w:ascii="Arial" w:hAnsi="Arial" w:eastAsia="等线" w:cs="Arial"/>
          <w:sz w:val="22"/>
        </w:rPr>
        <w:t>：C25混凝土，厚度120mm，承载力≥5.0kN/㎡，实测6.2kN/㎡，合格</w:t>
      </w:r>
    </w:p>
    <w:p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防护百叶</w:t>
      </w:r>
      <w:r>
        <w:rPr>
          <w:rFonts w:ascii="Arial" w:hAnsi="Arial" w:eastAsia="等线" w:cs="Arial"/>
          <w:sz w:val="22"/>
        </w:rPr>
        <w:t>：铝合金型材，抗变形能力≥2.0kPa，实测2.4kPa，合格</w:t>
      </w:r>
    </w:p>
    <w:p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减震垫</w:t>
      </w:r>
      <w:r>
        <w:rPr>
          <w:rFonts w:ascii="Arial" w:hAnsi="Arial" w:eastAsia="等线" w:cs="Arial"/>
          <w:sz w:val="22"/>
        </w:rPr>
        <w:t>：橡胶材质，压缩强度≥8MPa，减震效率≥85%，合格</w:t>
      </w:r>
    </w:p>
    <w:p>
      <w:pPr>
        <w:spacing w:before="300" w:after="120" w:line="288" w:lineRule="auto"/>
        <w:ind w:left="0"/>
        <w:jc w:val="left"/>
        <w:outlineLvl w:val="2"/>
      </w:pPr>
      <w:bookmarkStart w:id="34" w:name="heading_34"/>
      <w:r>
        <w:rPr>
          <w:rFonts w:ascii="Arial" w:hAnsi="Arial" w:eastAsia="等线" w:cs="Arial"/>
          <w:b/>
          <w:sz w:val="30"/>
        </w:rPr>
        <w:t>3.2.4 外墙花池构件</w:t>
      </w:r>
      <w:bookmarkEnd w:id="34"/>
    </w:p>
    <w:p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悬挑梁</w:t>
      </w:r>
      <w:r>
        <w:rPr>
          <w:rFonts w:ascii="Arial" w:hAnsi="Arial" w:eastAsia="等线" w:cs="Arial"/>
          <w:sz w:val="22"/>
        </w:rPr>
        <w:t>：C30混凝土，配筋HRB400EΦ16，抗裂性能达标，挠度≤L/250，实测1/280，合格</w:t>
      </w:r>
    </w:p>
    <w:p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防水层</w:t>
      </w:r>
      <w:r>
        <w:rPr>
          <w:rFonts w:ascii="Arial" w:hAnsi="Arial" w:eastAsia="等线" w:cs="Arial"/>
          <w:sz w:val="22"/>
        </w:rPr>
        <w:t>：聚合物水泥基防水涂料，厚度≥1.5mm，粘结强度≥0.6MPa，实测0.72MPa，合格</w:t>
      </w:r>
    </w:p>
    <w:p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排水管件</w:t>
      </w:r>
      <w:r>
        <w:rPr>
          <w:rFonts w:ascii="Arial" w:hAnsi="Arial" w:eastAsia="等线" w:cs="Arial"/>
          <w:sz w:val="22"/>
        </w:rPr>
        <w:t>：UPVC材质，环刚度≥8kN/m²，抗压强度≥10MPa，合格</w:t>
      </w:r>
    </w:p>
    <w:p>
      <w:pPr>
        <w:spacing w:before="380" w:after="140" w:line="288" w:lineRule="auto"/>
        <w:ind w:left="0"/>
        <w:jc w:val="left"/>
        <w:outlineLvl w:val="0"/>
      </w:pPr>
      <w:bookmarkStart w:id="35" w:name="heading_35"/>
      <w:r>
        <w:rPr>
          <w:rFonts w:ascii="Arial" w:hAnsi="Arial" w:eastAsia="等线" w:cs="Arial"/>
          <w:b/>
          <w:sz w:val="36"/>
        </w:rPr>
        <w:t>四、综合检测结论</w:t>
      </w:r>
      <w:bookmarkEnd w:id="35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经专项检测，本项目外遮阳、太阳能设施、空调室外机位、外墙花池等外部设施，严格落实与建筑主体结构</w:t>
            </w:r>
            <w:r>
              <w:rPr>
                <w:rFonts w:ascii="Arial" w:hAnsi="Arial" w:eastAsia="等线" w:cs="Arial"/>
                <w:b/>
                <w:sz w:val="22"/>
              </w:rPr>
              <w:t>统一设计、同步施工</w:t>
            </w:r>
            <w:r>
              <w:rPr>
                <w:rFonts w:ascii="Arial" w:hAnsi="Arial" w:eastAsia="等线" w:cs="Arial"/>
                <w:sz w:val="22"/>
              </w:rPr>
              <w:t>要求，安装、检修、维护空间及条件完备；所有结构构件、预埋件的力学性能、防腐性能、连接可靠性等检验验证参数，均满足国家规范及设计文件要求，无不合格项。本项目外部设施施工质量、安全耐久性能，完全符合《绿色建筑评价标准》相关管控条款，专项检测评定为合格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36" w:name="heading_36"/>
      <w:bookmarkEnd w:id="36"/>
      <w:bookmarkStart w:id="37" w:name="_GoBack"/>
      <w:bookmarkEnd w:id="37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3"/>
  </w:num>
  <w:num w:numId="2">
    <w:abstractNumId w:val="15"/>
  </w:num>
  <w:num w:numId="3">
    <w:abstractNumId w:val="45"/>
  </w:num>
  <w:num w:numId="4">
    <w:abstractNumId w:val="13"/>
  </w:num>
  <w:num w:numId="5">
    <w:abstractNumId w:val="9"/>
  </w:num>
  <w:num w:numId="6">
    <w:abstractNumId w:val="25"/>
  </w:num>
  <w:num w:numId="7">
    <w:abstractNumId w:val="33"/>
  </w:num>
  <w:num w:numId="8">
    <w:abstractNumId w:val="52"/>
  </w:num>
  <w:num w:numId="9">
    <w:abstractNumId w:val="24"/>
  </w:num>
  <w:num w:numId="10">
    <w:abstractNumId w:val="5"/>
  </w:num>
  <w:num w:numId="11">
    <w:abstractNumId w:val="34"/>
  </w:num>
  <w:num w:numId="12">
    <w:abstractNumId w:val="46"/>
  </w:num>
  <w:num w:numId="13">
    <w:abstractNumId w:val="14"/>
  </w:num>
  <w:num w:numId="14">
    <w:abstractNumId w:val="42"/>
  </w:num>
  <w:num w:numId="15">
    <w:abstractNumId w:val="21"/>
  </w:num>
  <w:num w:numId="16">
    <w:abstractNumId w:val="32"/>
  </w:num>
  <w:num w:numId="17">
    <w:abstractNumId w:val="18"/>
  </w:num>
  <w:num w:numId="18">
    <w:abstractNumId w:val="17"/>
  </w:num>
  <w:num w:numId="19">
    <w:abstractNumId w:val="7"/>
  </w:num>
  <w:num w:numId="20">
    <w:abstractNumId w:val="40"/>
  </w:num>
  <w:num w:numId="21">
    <w:abstractNumId w:val="49"/>
  </w:num>
  <w:num w:numId="22">
    <w:abstractNumId w:val="28"/>
  </w:num>
  <w:num w:numId="23">
    <w:abstractNumId w:val="39"/>
  </w:num>
  <w:num w:numId="24">
    <w:abstractNumId w:val="8"/>
  </w:num>
  <w:num w:numId="25">
    <w:abstractNumId w:val="56"/>
  </w:num>
  <w:num w:numId="26">
    <w:abstractNumId w:val="54"/>
  </w:num>
  <w:num w:numId="27">
    <w:abstractNumId w:val="12"/>
  </w:num>
  <w:num w:numId="28">
    <w:abstractNumId w:val="50"/>
  </w:num>
  <w:num w:numId="29">
    <w:abstractNumId w:val="6"/>
  </w:num>
  <w:num w:numId="30">
    <w:abstractNumId w:val="38"/>
  </w:num>
  <w:num w:numId="31">
    <w:abstractNumId w:val="2"/>
  </w:num>
  <w:num w:numId="32">
    <w:abstractNumId w:val="44"/>
  </w:num>
  <w:num w:numId="33">
    <w:abstractNumId w:val="57"/>
  </w:num>
  <w:num w:numId="34">
    <w:abstractNumId w:val="0"/>
  </w:num>
  <w:num w:numId="35">
    <w:abstractNumId w:val="31"/>
  </w:num>
  <w:num w:numId="36">
    <w:abstractNumId w:val="43"/>
  </w:num>
  <w:num w:numId="37">
    <w:abstractNumId w:val="22"/>
  </w:num>
  <w:num w:numId="38">
    <w:abstractNumId w:val="19"/>
  </w:num>
  <w:num w:numId="39">
    <w:abstractNumId w:val="35"/>
  </w:num>
  <w:num w:numId="40">
    <w:abstractNumId w:val="55"/>
  </w:num>
  <w:num w:numId="41">
    <w:abstractNumId w:val="11"/>
  </w:num>
  <w:num w:numId="42">
    <w:abstractNumId w:val="4"/>
  </w:num>
  <w:num w:numId="43">
    <w:abstractNumId w:val="10"/>
  </w:num>
  <w:num w:numId="44">
    <w:abstractNumId w:val="47"/>
  </w:num>
  <w:num w:numId="45">
    <w:abstractNumId w:val="1"/>
  </w:num>
  <w:num w:numId="46">
    <w:abstractNumId w:val="29"/>
  </w:num>
  <w:num w:numId="47">
    <w:abstractNumId w:val="3"/>
  </w:num>
  <w:num w:numId="48">
    <w:abstractNumId w:val="48"/>
  </w:num>
  <w:num w:numId="49">
    <w:abstractNumId w:val="53"/>
  </w:num>
  <w:num w:numId="50">
    <w:abstractNumId w:val="41"/>
  </w:num>
  <w:num w:numId="51">
    <w:abstractNumId w:val="36"/>
  </w:num>
  <w:num w:numId="52">
    <w:abstractNumId w:val="51"/>
  </w:num>
  <w:num w:numId="53">
    <w:abstractNumId w:val="26"/>
  </w:num>
  <w:num w:numId="54">
    <w:abstractNumId w:val="27"/>
  </w:num>
  <w:num w:numId="55">
    <w:abstractNumId w:val="16"/>
  </w:num>
  <w:num w:numId="56">
    <w:abstractNumId w:val="37"/>
  </w:num>
  <w:num w:numId="57">
    <w:abstractNumId w:val="30"/>
  </w:num>
  <w:num w:numId="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3697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2026-03-23T05:09:00Z</dcterms:created>
  <dc:creator>Apache POI</dc:creator>
  <cp:lastModifiedBy>hp</cp:lastModifiedBy>
  <dcterms:modified xsi:type="dcterms:W3CDTF">2026-03-23T05:10:08Z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