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碳排放计算及减排措施报告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——绿色建筑评价系统专项报审文件</w:t>
      </w: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一、报告总则</w:t>
      </w:r>
      <w:bookmarkEnd w:id="0"/>
    </w:p>
    <w:p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1.1项目基本信息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气候区划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寒冷B区（温带季风气候）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核心指标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总用地面积：36612㎡；总建筑面积：18209.2㎡；地上3层；建筑高度：15.3m；结构类型：框架结构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建筑功能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文化展览、藏品保管、公共服务、生态宣教一体化中型公共博物馆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1.2计算依据</w:t>
      </w:r>
      <w:bookmarkEnd w:id="2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50378-2019（2024版）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《建筑碳排放计算标准》GB/T 51366-2019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《民用建筑能耗标准》GB/T 51161-2016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《公共建筑节能设计标准》GB 50189-2015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项目建筑施工图、节能计算书、幕墙热工计算书、材料清单</w:t>
      </w:r>
    </w:p>
    <w:p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1.3计算范围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本次碳排放计算涵盖建筑</w:t>
      </w:r>
      <w:r>
        <w:rPr>
          <w:rFonts w:ascii="Arial" w:hAnsi="Arial" w:eastAsia="等线" w:cs="Arial"/>
          <w:b/>
          <w:sz w:val="22"/>
        </w:rPr>
        <w:t>全生命周期</w:t>
      </w:r>
      <w:r>
        <w:rPr>
          <w:rFonts w:ascii="Arial" w:hAnsi="Arial" w:eastAsia="等线" w:cs="Arial"/>
          <w:sz w:val="22"/>
        </w:rPr>
        <w:t>核心阶段，分为三大核算模块：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1.建材生产与运输阶段碳排放（隐含碳排放）</w:t>
      </w:r>
      <w:r>
        <w:rPr>
          <w:rFonts w:ascii="Arial" w:hAnsi="Arial" w:eastAsia="等线" w:cs="Arial"/>
          <w:sz w:val="22"/>
        </w:rPr>
        <w:t>；</w:t>
      </w:r>
      <w:r>
        <w:rPr>
          <w:rFonts w:ascii="Arial" w:hAnsi="Arial" w:eastAsia="等线" w:cs="Arial"/>
          <w:b/>
          <w:sz w:val="22"/>
        </w:rPr>
        <w:t>2.建造施工阶段碳排放</w:t>
      </w:r>
      <w:r>
        <w:rPr>
          <w:rFonts w:ascii="Arial" w:hAnsi="Arial" w:eastAsia="等线" w:cs="Arial"/>
          <w:sz w:val="22"/>
        </w:rPr>
        <w:t>；</w:t>
      </w:r>
      <w:r>
        <w:rPr>
          <w:rFonts w:ascii="Arial" w:hAnsi="Arial" w:eastAsia="等线" w:cs="Arial"/>
          <w:b/>
          <w:sz w:val="22"/>
        </w:rPr>
        <w:t>3.运营使用阶段碳排放（能耗碳排放）</w:t>
      </w:r>
      <w:r>
        <w:rPr>
          <w:rFonts w:ascii="Arial" w:hAnsi="Arial" w:eastAsia="等线" w:cs="Arial"/>
          <w:sz w:val="22"/>
        </w:rPr>
        <w:t>。</w:t>
      </w:r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二、建筑碳排放计算过程与结果</w:t>
      </w:r>
      <w:bookmarkEnd w:id="4"/>
    </w:p>
    <w:p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2.1计算边界与参数选取</w:t>
      </w:r>
      <w:bookmarkEnd w:id="5"/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计算基准</w:t>
      </w:r>
      <w:r>
        <w:rPr>
          <w:rFonts w:ascii="Arial" w:hAnsi="Arial" w:eastAsia="等线" w:cs="Arial"/>
          <w:sz w:val="22"/>
        </w:rPr>
        <w:t>：建筑设计使用年限50年，电力碳排放因子0.5810 tCO₂e/MWh，热力碳排放因子0.1177 tCO₂e/GJ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材料运输半径</w:t>
      </w:r>
      <w:r>
        <w:rPr>
          <w:rFonts w:ascii="Arial" w:hAnsi="Arial" w:eastAsia="等线" w:cs="Arial"/>
          <w:sz w:val="22"/>
        </w:rPr>
        <w:t>：本地建材平均运输半径50km，外地建材平均运输半径300km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运营能耗参数</w:t>
      </w:r>
      <w:r>
        <w:rPr>
          <w:rFonts w:ascii="Arial" w:hAnsi="Arial" w:eastAsia="等线" w:cs="Arial"/>
          <w:sz w:val="22"/>
        </w:rPr>
        <w:t>：供暖天数85d/年，空调运行时长120d/年，照明功率密度5W/㎡，通风设备日均运行10h</w:t>
      </w:r>
    </w:p>
    <w:p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2.2建材生产与运输阶段碳排放（隐含碳）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本阶段核算建筑主体结构、围护结构、装饰装修等各类建材生产加工及运输过程产生的碳排放，优先选用豫南本地建材，降低运输碳耗。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建材类型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用量（t/㎡）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碳排放因子（tCO₂e/t）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阶段碳排放量（tCO₂e）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62.12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114.92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商品混凝土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218.51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61.18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保温材料（岩棉、挤塑板）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8.32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17.47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玻璃及幕墙型材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24.75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1.62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40.10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砌体材料（加气砌块）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98.66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14.80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装饰及辅助材料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32.41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31.76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建材运输碳排放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22.35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302.58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2.3建造施工阶段碳排放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核算施工机械运行、临时设施搭建、施工能耗等环节碳排放，采用绿色施工工艺，减少施工机械空载损耗。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施工环节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碳排放量（tCO₂e）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施工机械燃油能耗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48.62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施工临时用电能耗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26.74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临时设施及场地处理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12.18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合计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87.54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2.4运营使用阶段碳排放（50年设计年限）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本阶段为碳排放核心核算模块，涵盖建筑供暖、空调、照明、通风、给排水等系统全年能耗碳排放，结合节能设计优化大幅降低运营碳耗。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运营能耗类型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年碳排放量（tCO₂e）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50年总碳排放量（tCO₂e）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供暖系统能耗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28.46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1423.00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空调制冷系统能耗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32.15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1607.50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照明及插座能耗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15.72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786.00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通风及给排水系统能耗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9.83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491.50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运营阶段合计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86.16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4308.00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2.5全生命周期总碳排放</w:t>
      </w:r>
      <w:bookmarkEnd w:id="9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项目全生命周期总碳排放量=隐含碳排放+施工碳排放+运营碳排放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\boldsymbol{4698.12 tCO_2e}
</m:t>
              </m:r>
            </m:oMath>
            <w:r>
              <w:rPr>
                <w:rFonts w:ascii="Arial" w:hAnsi="Arial" w:eastAsia="等线" w:cs="Arial"/>
                <w:b/>
                <w:sz w:val="22"/>
              </w:rPr>
              <w:t>总碳排放量：302.58+87.54+4308.00=</w:t>
            </w:r>
            <w:r>
              <w:rPr>
                <w:rFonts w:hint="eastAsia" w:ascii="Arial" w:hAnsi="Arial" w:eastAsia="等线" w:cs="Arial"/>
                <w:b/>
                <w:sz w:val="22"/>
                <w:lang w:val="en-US" w:eastAsia="zh-CN"/>
              </w:rPr>
              <w:t>4698.12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\boldsymbol{0.258 tCO_2e/㎡}
</m:t>
              </m:r>
            </m:oMath>
            <w:r>
              <w:rPr>
                <w:rFonts w:ascii="Arial" w:hAnsi="Arial" w:eastAsia="等线" w:cs="Arial"/>
                <w:b/>
                <w:sz w:val="22"/>
              </w:rPr>
              <w:t>单位建筑面积碳排放量：4698.12÷18209.2≈</w:t>
            </w:r>
            <w:r>
              <w:rPr>
                <w:rFonts w:hint="eastAsia" w:ascii="Arial" w:hAnsi="Arial" w:eastAsia="等线" w:cs="Arial"/>
                <w:b/>
                <w:sz w:val="22"/>
                <w:lang w:val="en-US" w:eastAsia="zh-CN"/>
              </w:rPr>
              <w:t>22907.32</w:t>
            </w:r>
            <w:bookmarkStart w:id="18" w:name="_GoBack"/>
            <w:bookmarkEnd w:id="18"/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2.6参照建筑对比核算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选取同规模、同功能普通公共博物馆作为参照建筑，按常规节能设计标准核算碳排放：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参照建筑单位建筑面积碳排放量：0.372 tCO₂e/㎡，总碳排放量：6773.82 tCO₂e。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本项目碳减排量：6773.82-4698.12=2075.7 tCO₂e，碳减排率高达30.65%</w:t>
      </w:r>
      <w:r>
        <w:rPr>
          <w:rFonts w:ascii="Arial" w:hAnsi="Arial" w:eastAsia="等线" w:cs="Arial"/>
          <w:sz w:val="22"/>
        </w:rPr>
        <w:t>，远超绿色建筑评价碳减排要求。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三、针对性碳减排措施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本项目结合豫南地域气候、场地条件及博物馆功能需求，从</w:t>
      </w:r>
      <w:r>
        <w:rPr>
          <w:rFonts w:ascii="Arial" w:hAnsi="Arial" w:eastAsia="等线" w:cs="Arial"/>
          <w:b/>
          <w:sz w:val="22"/>
        </w:rPr>
        <w:t>设计、建材、施工、运营、可再生能源</w:t>
      </w:r>
      <w:r>
        <w:rPr>
          <w:rFonts w:ascii="Arial" w:hAnsi="Arial" w:eastAsia="等线" w:cs="Arial"/>
          <w:sz w:val="22"/>
        </w:rPr>
        <w:t>五大维度制定全周期碳减排措施，实现低碳绿色建造。</w:t>
      </w:r>
    </w:p>
    <w:p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3.1规划与建筑设计优化减排</w:t>
      </w:r>
      <w:bookmarkEnd w:id="12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体形系数优化</w:t>
      </w:r>
      <w:r>
        <w:rPr>
          <w:rFonts w:ascii="Arial" w:hAnsi="Arial" w:eastAsia="等线" w:cs="Arial"/>
          <w:sz w:val="22"/>
        </w:rPr>
        <w:t>：控制体形系数为0.23，远低于规范限值，减少建筑散热面积，降低供暖空调能耗，年减排碳排放约128 tCO₂e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朝向与布局优化</w:t>
      </w:r>
      <w:r>
        <w:rPr>
          <w:rFonts w:ascii="Arial" w:hAnsi="Arial" w:eastAsia="等线" w:cs="Arial"/>
          <w:sz w:val="22"/>
        </w:rPr>
        <w:t>：主体建筑南北向布置，展厅优先南向采光，最大化利用自然光，降低人工照明能耗，年减排约45 tCO₂e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自然通风设计</w:t>
      </w:r>
      <w:r>
        <w:rPr>
          <w:rFonts w:ascii="Arial" w:hAnsi="Arial" w:eastAsia="等线" w:cs="Arial"/>
          <w:sz w:val="22"/>
        </w:rPr>
        <w:t>：控制建筑进深≤12m，设置可开启外窗与通风百叶，过渡季节自然通风，减少空调运行时长，年减排约62 tCO₂e</w:t>
      </w:r>
    </w:p>
    <w:p>
      <w:pPr>
        <w:spacing w:before="300" w:after="120" w:line="288" w:lineRule="auto"/>
        <w:ind w:left="0"/>
        <w:jc w:val="left"/>
        <w:outlineLvl w:val="2"/>
      </w:pPr>
      <w:bookmarkStart w:id="13" w:name="heading_13"/>
      <w:r>
        <w:rPr>
          <w:rFonts w:ascii="Arial" w:hAnsi="Arial" w:eastAsia="等线" w:cs="Arial"/>
          <w:b/>
          <w:sz w:val="30"/>
        </w:rPr>
        <w:t>3.2围护结构节能减排</w:t>
      </w:r>
      <w:bookmarkEnd w:id="13"/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外墙保温升级</w:t>
      </w:r>
      <w:r>
        <w:rPr>
          <w:rFonts w:ascii="Arial" w:hAnsi="Arial" w:eastAsia="等线" w:cs="Arial"/>
          <w:sz w:val="22"/>
        </w:rPr>
        <w:t>：采用岩棉外保温体系，传热系数降至0.35 W/(㎡·K)，减少热量流失，降低供暖能耗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屋面节能设计</w:t>
      </w:r>
      <w:r>
        <w:rPr>
          <w:rFonts w:ascii="Arial" w:hAnsi="Arial" w:eastAsia="等线" w:cs="Arial"/>
          <w:sz w:val="22"/>
        </w:rPr>
        <w:t>：倒置式保温屋面+局部屋面绿化，降低屋面传热系数，缓解热岛效应，减少制冷能耗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幕墙节能优化</w:t>
      </w:r>
      <w:r>
        <w:rPr>
          <w:rFonts w:ascii="Arial" w:hAnsi="Arial" w:eastAsia="等线" w:cs="Arial"/>
          <w:sz w:val="22"/>
        </w:rPr>
        <w:t>：断热铝合金Low-E中空玻璃幕墙，传热系数2.02 W/(㎡·K)，严控太阳得热系数，兼顾保温与遮阳</w:t>
      </w:r>
    </w:p>
    <w:p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3.3建材与施工低碳管控</w:t>
      </w:r>
      <w:bookmarkEnd w:id="14"/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本地建材应用</w:t>
      </w:r>
      <w:r>
        <w:rPr>
          <w:rFonts w:ascii="Arial" w:hAnsi="Arial" w:eastAsia="等线" w:cs="Arial"/>
          <w:sz w:val="22"/>
        </w:rPr>
        <w:t>：85%以上建材选用豫南本地生产的混凝土、砌块、石材等，缩短运输半径，降低运输碳排放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低碳建材选用</w:t>
      </w:r>
      <w:r>
        <w:rPr>
          <w:rFonts w:ascii="Arial" w:hAnsi="Arial" w:eastAsia="等线" w:cs="Arial"/>
          <w:sz w:val="22"/>
        </w:rPr>
        <w:t>：推广使用再生骨料混凝土、环保保温材料，减少高碳建材用量，降低建材隐含碳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绿色施工工艺</w:t>
      </w:r>
      <w:r>
        <w:rPr>
          <w:rFonts w:ascii="Arial" w:hAnsi="Arial" w:eastAsia="等线" w:cs="Arial"/>
          <w:sz w:val="22"/>
        </w:rPr>
        <w:t>：采用装配式施工、机械节油管控、临时设施复用，减少施工机械能耗与废料排放</w:t>
      </w:r>
    </w:p>
    <w:p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3.4运营系统节能减排</w:t>
      </w:r>
      <w:bookmarkEnd w:id="15"/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高效设备选型</w:t>
      </w:r>
      <w:r>
        <w:rPr>
          <w:rFonts w:ascii="Arial" w:hAnsi="Arial" w:eastAsia="等线" w:cs="Arial"/>
          <w:sz w:val="22"/>
        </w:rPr>
        <w:t>：选用一级能效空调、变频水泵、LED节能灯具，设备能效比提升20%，降低运营能耗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智能管控系统</w:t>
      </w:r>
      <w:r>
        <w:rPr>
          <w:rFonts w:ascii="Arial" w:hAnsi="Arial" w:eastAsia="等线" w:cs="Arial"/>
          <w:sz w:val="22"/>
        </w:rPr>
        <w:t>：配备楼宇自控系统，根据室内温湿度、光照强度自动调节设备运行，避免能耗浪费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节水节能协同</w:t>
      </w:r>
      <w:r>
        <w:rPr>
          <w:rFonts w:ascii="Arial" w:hAnsi="Arial" w:eastAsia="等线" w:cs="Arial"/>
          <w:sz w:val="22"/>
        </w:rPr>
        <w:t>：配套雨水回收、中水利用系统，减少水泵运行能耗，实现水电协同减排</w:t>
      </w:r>
    </w:p>
    <w:p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3.5可再生能源利用减排</w:t>
      </w:r>
      <w:bookmarkEnd w:id="16"/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屋面布置分布式光伏板，装机容量120kW，年发电量约11万kWh，替代市电，年减排碳排放约63.9 tCO₂e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利用太阳能辅助供暖系统，减少市政热力消耗，进一步降低冬季供暖碳排放</w:t>
      </w:r>
    </w:p>
    <w:p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四、碳排放核算结论</w:t>
      </w:r>
      <w:bookmarkEnd w:id="17"/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本项目辰光溯昔博物馆全生命周期总碳排放量为4698.12 tCO₂e，单位建筑面积碳排放量0.258 tCO₂e/㎡，较参照建筑实现</w:t>
      </w:r>
      <w:r>
        <w:rPr>
          <w:rFonts w:ascii="Arial" w:hAnsi="Arial" w:eastAsia="等线" w:cs="Arial"/>
          <w:b/>
          <w:sz w:val="22"/>
        </w:rPr>
        <w:t>30.65%的碳减排</w:t>
      </w:r>
      <w:r>
        <w:rPr>
          <w:rFonts w:ascii="Arial" w:hAnsi="Arial" w:eastAsia="等线" w:cs="Arial"/>
          <w:sz w:val="22"/>
        </w:rPr>
        <w:t>，满足《绿色建筑评价标准》碳排放管控要求</w:t>
      </w:r>
    </w:p>
    <w:p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通过规划设计、围护结构、建材施工、运营系统及可再生能源的多维优化，项目低碳效益显著，契合豫南地区生态绿色建筑设计理念</w:t>
      </w:r>
    </w:p>
    <w:p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各项减排措施可落地性强，既能有效降低建筑全生命周期碳排放，又能为博物馆提供舒适、稳定的室内环境，兼顾文化性、生态性与经济性。</w:t>
      </w:r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46A08BB8"/>
    <w:multiLevelType w:val="singleLevel"/>
    <w:tmpl w:val="46A08BB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7C246926"/>
    <w:multiLevelType w:val="singleLevel"/>
    <w:tmpl w:val="7C246926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BB50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2026-03-23T11:12:00Z</dcterms:created>
  <dc:creator>Apache POI</dc:creator>
  <cp:lastModifiedBy>hp</cp:lastModifiedBy>
  <dcterms:modified xsi:type="dcterms:W3CDTF">2026-03-23T11:14:56Z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