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绿色建筑设计结构专项论证报告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：河南绿建工程设计有限公司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：LS-ZL-2026-058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适用阶段</w:t>
      </w:r>
      <w:r>
        <w:rPr>
          <w:rFonts w:ascii="Arial" w:hAnsi="Arial" w:eastAsia="等线" w:cs="Arial"/>
          <w:sz w:val="22"/>
        </w:rPr>
        <w:t>：绿色建筑评价申报阶段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项目负责人</w:t>
      </w:r>
      <w:r>
        <w:rPr>
          <w:rFonts w:ascii="Arial" w:hAnsi="Arial" w:eastAsia="等线" w:cs="Arial"/>
          <w:sz w:val="22"/>
        </w:rPr>
        <w:t>：张工（一级注册结构工程师）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论证专家组</w:t>
      </w:r>
      <w:r>
        <w:rPr>
          <w:rFonts w:ascii="Arial" w:hAnsi="Arial" w:eastAsia="等线" w:cs="Arial"/>
          <w:sz w:val="22"/>
        </w:rPr>
        <w:t>：结构工程高级工程师3名、绿建评审专家2名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论证概况与编制依据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项目基本信息与结构设计概况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建筑形体与结构布置规则性专项分析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结构安全性、稳定性验算结果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不规则项排查与整改措施（若有）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专家论证意见与结论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绿建评价符合性判定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签字盖章页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论证概况与编制依据</w:t>
      </w:r>
      <w:bookmarkEnd w:id="1"/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1.1 论证目的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严格落实绿色建筑评价系统“不应采用建筑形体和布置严重不规则的建筑结构”强制性条款要求，针对本项目建筑形体、结构布置、受力体系开展专项论证，核查结构规则性、安全性与稳定性，出具专项论证报告，作为绿建评价申报核心支撑文件，确保项目结构设计合规达标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1.2 编制依据</w:t>
      </w:r>
      <w:bookmarkEnd w:id="3"/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《建筑抗震设计规范》GB 50011-2010（2016年版）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《混凝土结构设计规范》GB 50010-2010（2015年版）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《建筑结构可靠性设计统一标准》GB 50068-2018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《建筑工程抗震设防分类标准》GB 50223-2008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本项目建筑施工图、结构施工图、地质勘察报告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河南省、驻马店市建筑结构管控及绿建评审相关规定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本报告所有验算数据、论证结论均基于项目实际设计参数，参照现行国家规范测算，论证过程严谨、数据真实有效，符合绿建评审及结构安全管控要求。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 项目基本信息与结构设计概况</w:t>
      </w:r>
      <w:bookmarkEnd w:id="4"/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项目基础信息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㎡，地上建筑面积18209.2 ㎡，无地下建筑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建筑层数/高度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地上3层（局部2层），建筑高度15.3m，最高点16.8m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抗震设防标准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抗震设防烈度6度，设计基本地震加速度0.05g，设计地震分组第二组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建筑使用功能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展览展厅、文物库房、行政办公、公共服务、设备机房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结构体系设计概况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本项目为多层公共文化建筑，结构安全等级为二级，设计使用年限50年，抗震设防类别为标准设防类（丙类）。结合建筑功能布局与形体设计，采用</w:t>
      </w:r>
      <w:r>
        <w:rPr>
          <w:rFonts w:ascii="Arial" w:hAnsi="Arial" w:eastAsia="等线" w:cs="Arial"/>
          <w:b/>
          <w:sz w:val="22"/>
        </w:rPr>
        <w:t>钢筋混凝土框架结构体系</w:t>
      </w:r>
      <w:r>
        <w:rPr>
          <w:rFonts w:ascii="Arial" w:hAnsi="Arial" w:eastAsia="等线" w:cs="Arial"/>
          <w:sz w:val="22"/>
        </w:rPr>
        <w:t>，框架抗震等级四级；楼屋面均采用现浇钢筋混凝土梁板结构，整体性强；基础形式选用柱下独立基础+防水板，适配项目地质条件，整体结构受力明确、传力路径清晰，无冗余受力节点。</w:t>
      </w:r>
    </w:p>
    <w:p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2.3 建筑形体布局概况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筑平面主体为规整矩形，仅结合展陈需求做局部内凹处理，无大面积悬挑、错层、转角突变等复杂形体；竖向体型连续均匀，各楼层框架柱、梁等竖向构件上下对齐贯通，无竖向收进过大、刚度突变等问题，外立面造型简洁对称，兼顾生态美学与结构规则性双重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8" w:name="heading_8"/>
      <w:r>
        <w:rPr>
          <w:rFonts w:ascii="Arial" w:hAnsi="Arial" w:eastAsia="等线" w:cs="Arial"/>
          <w:b/>
          <w:sz w:val="36"/>
        </w:rPr>
        <w:t>3 建筑形体与结构布置规则性专项分析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依据《建筑抗震设计规范》及绿建评价要求，从平面规则性、竖向规则性两大核心维度，对建筑形体及结构布置进行逐项拆解分析，排查严重不规则情形。</w:t>
      </w:r>
    </w:p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3.1 平面规则性专项分析</w:t>
      </w:r>
      <w:bookmarkEnd w:id="9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分析指标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本项目实测参数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平面凹凸尺寸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凸出/凹进尺寸≤对应边长30%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最大凸出占比25.2%，最大凹进占比17.6%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合规，无平面凹凸不规则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楼层位移比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位移比≤1.2，无扭转不规则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最大楼层位移比1.12，周期比0.78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合规，无扭转效应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楼板开洞率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开洞面积≤楼层面积30%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各层开洞率均≤15%，无错层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合规，楼板连续完整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抗侧力构件布置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对称均匀、质刚心偏差小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框架柱双向对称，质刚心偏差≤5%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合规，布置规整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3.2 竖向规则性专项分析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分析指标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规范限值要求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本项目实测参数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合规性判定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竖向构件对齐度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上下构件贯通对齐，无错位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框架柱全层对齐，无偏移错位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合规，竖向连续性好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楼层侧向刚度比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相邻层刚度比≥0.7，无突变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1-2层0.92，2-3层0.87，无刚度突变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合规，刚度均匀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楼层承载力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上层承载力≥下层80%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各层承载力均≥下层90%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合规，无承载力突变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层高与立面收进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层高变化≤20%，收进≤25%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层高变化7.1%，立面收进18%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合规，无竖向不规则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1" w:name="heading_11"/>
      <w:r>
        <w:rPr>
          <w:rFonts w:ascii="Arial" w:hAnsi="Arial" w:eastAsia="等线" w:cs="Arial"/>
          <w:b/>
          <w:sz w:val="36"/>
        </w:rPr>
        <w:t>4 结构安全性、稳定性验算结果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采用专业结构设计软件（YJK、PKPM）对项目进行整体建模验算，核心验算结果如下：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框架柱轴压比</w:t>
      </w:r>
      <w:r>
        <w:rPr>
          <w:rFonts w:ascii="Arial" w:hAnsi="Arial" w:eastAsia="等线" w:cs="Arial"/>
          <w:sz w:val="22"/>
        </w:rPr>
        <w:t>：最大轴压比0.58，小于规范限值0.75，满足受压承载力要求；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框架梁配筋率</w:t>
      </w:r>
      <w:r>
        <w:rPr>
          <w:rFonts w:ascii="Arial" w:hAnsi="Arial" w:eastAsia="等线" w:cs="Arial"/>
          <w:sz w:val="22"/>
        </w:rPr>
        <w:t>：纵向受力筋配筋率1.2%-1.8%，处于规范合理区间，无超筋、少筋情况；</w:t>
      </w:r>
    </w:p>
    <w:p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层间位移角</w:t>
      </w:r>
      <w:r>
        <w:rPr>
          <w:rFonts w:ascii="Arial" w:hAnsi="Arial" w:eastAsia="等线" w:cs="Arial"/>
          <w:sz w:val="22"/>
        </w:rPr>
        <w:t>：最大层间位移角1/820，小于规范限值1/550，满足变形控制要求；</w:t>
      </w:r>
    </w:p>
    <w:p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地基承载力</w:t>
      </w:r>
      <w:r>
        <w:rPr>
          <w:rFonts w:ascii="Arial" w:hAnsi="Arial" w:eastAsia="等线" w:cs="Arial"/>
          <w:sz w:val="22"/>
        </w:rPr>
        <w:t>：修正后地基承载力特征值fₐ=220kPa，满足基础受力要求，无不均匀沉降风险；</w:t>
      </w:r>
    </w:p>
    <w:p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整体稳定验算</w:t>
      </w:r>
      <w:r>
        <w:rPr>
          <w:rFonts w:ascii="Arial" w:hAnsi="Arial" w:eastAsia="等线" w:cs="Arial"/>
          <w:sz w:val="22"/>
        </w:rPr>
        <w:t>：结构整体倾覆、滑移验算均满足规范要求，稳定性达标。</w:t>
      </w: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经验算，本项目结构承载力、变形、稳定性均满足现行国家规范要求，结构安全可控，无安全隐患。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5 不规则项排查与整改措施（若有）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经全方位排查、交叉验算，本项目</w:t>
      </w:r>
      <w:r>
        <w:rPr>
          <w:rFonts w:ascii="Arial" w:hAnsi="Arial" w:eastAsia="等线" w:cs="Arial"/>
          <w:b/>
          <w:sz w:val="22"/>
        </w:rPr>
        <w:t>不存在建筑形体和结构布置严重不规则情形</w:t>
      </w:r>
      <w:r>
        <w:rPr>
          <w:rFonts w:ascii="Arial" w:hAnsi="Arial" w:eastAsia="等线" w:cs="Arial"/>
          <w:sz w:val="22"/>
        </w:rPr>
        <w:t>，仅存在局部轻微规整优化项（如局部边角造型微调），不属于规范界定的不规则项，无需采取专项整改措施。设计阶段已通过优化构件布置、强化结构整体性，提前规避各类不规则风险，确保结构布局完全符合绿建及规范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13" w:name="heading_13"/>
      <w:r>
        <w:rPr>
          <w:rFonts w:ascii="Arial" w:hAnsi="Arial" w:eastAsia="等线" w:cs="Arial"/>
          <w:b/>
          <w:sz w:val="36"/>
        </w:rPr>
        <w:t>6 专家论证意见与结论</w:t>
      </w:r>
      <w:bookmarkEnd w:id="13"/>
    </w:p>
    <w:p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6.1 专家论证意见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专家组审阅项目结构图纸、验算报告及规则性分析资料，经现场质询、集体研讨，形成如下意见：</w:t>
      </w:r>
    </w:p>
    <w:p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本项目结构体系选型合理，建筑形体规整，平面及竖向布置均匀，无严重不规则情形，符合绿建评价强制性条款要求；</w:t>
      </w:r>
    </w:p>
    <w:p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结构验算数据真实、方法规范，安全性、稳定性均满足国家现行规范要求，结构设计可靠；</w:t>
      </w:r>
    </w:p>
    <w:p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专项论证报告内容完整、逻辑清晰，可作为绿建评价申报依据。</w:t>
      </w:r>
    </w:p>
    <w:p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6.2 最终论证结论</w:t>
      </w:r>
      <w:bookmarkEnd w:id="15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辰光溯昔—基于豫南地区生态的博物馆绿色建筑设计</w:t>
            </w:r>
            <w:r>
              <w:rPr>
                <w:rFonts w:ascii="Arial" w:hAnsi="Arial" w:eastAsia="等线" w:cs="Arial"/>
                <w:sz w:val="22"/>
              </w:rPr>
              <w:t>，建筑形体及结构布置规整，无严重不规则情形，结构安全性、稳定性达标，完全满足绿色建筑评价系统“不应采用建筑形体和布置严重不规则的建筑结构”的强制性要求，</w:t>
            </w:r>
            <w:r>
              <w:rPr>
                <w:rFonts w:ascii="Arial" w:hAnsi="Arial" w:eastAsia="等线" w:cs="Arial"/>
                <w:b/>
                <w:sz w:val="22"/>
              </w:rPr>
              <w:t>结构专项论证合格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6" w:name="_GoBack"/>
      <w:bookmarkEnd w:id="1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2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15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2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3"/>
  </w:num>
  <w:num w:numId="5">
    <w:abstractNumId w:val="2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4"/>
  </w:num>
  <w:num w:numId="14">
    <w:abstractNumId w:val="18"/>
  </w:num>
  <w:num w:numId="15">
    <w:abstractNumId w:val="8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17"/>
  </w:num>
  <w:num w:numId="21">
    <w:abstractNumId w:val="21"/>
  </w:num>
  <w:num w:numId="22">
    <w:abstractNumId w:val="1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1F6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2026-03-24T09:52:00Z</dcterms:created>
  <dc:creator>Apache POI</dc:creator>
  <cp:lastModifiedBy>hp</cp:lastModifiedBy>
  <dcterms:modified xsi:type="dcterms:W3CDTF">2026-03-24T09:53:07Z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