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驻马店博物馆工业化内装工程绿色建材应用比例计算分析报告（绿建</w:t>
      </w:r>
      <w:r>
        <w:rPr>
          <w:rFonts w:eastAsia="等线" w:ascii="Arial" w:cs="Arial" w:hAnsi="Arial"/>
          <w:b w:val="true"/>
          <w:sz w:val="52"/>
        </w:rPr>
        <w:t>评价专用）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文档编号：ZMD-BWG-LJ-BL-2025001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关联文档：驻马店博物馆工业化内装工程利废建材产品检测报告说明（文档编号：ZMD-BWG-LJ-JC-2025001）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计算单位：驻马店市建筑装饰工程有限公司（施工单位）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复核单位：驻马店市工程建设监理有限公司（监理单位）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审核单位：驻马店市建筑材料检测中心（资质等级：甲级，资质证书编号：CMA20234100867，CNAS L12345）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计算日期：2024年6月15日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复核日期：2024年6月18日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审核日期：2024年6月20日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用途：本报告专为驻马店博物馆工业化内装工程绿建评价“节材与材料资源利用”指标核查使用，严格遵循《绿色建筑评价标准》GB/T 50378-2019、《建筑材料可再循环利用评价标准》GB/T 50408-2017及《绿色建材评价标识管理办法》相关要求，通过精准统计工程内装所用各类建材用量、绿色建材用量，科学计算绿色建材应用比例，明确比例达标情况，为绿建评价系统填报及核查提供真实、合规、可追溯的核心佐证材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一、工程概况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工业化内装工程，位于驻马店市驿城区XX路XX号，内装区域涵盖1-4层展厅、附属用房、走廊及公共区域，内装总面积8200㎡，工程性质为公共建筑内装，采用工业化模块化施工模式，重点推广绿色建材、利废建材应用，践行绿建节能、节材理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内装所用建材主要分为结构辅助类、装饰装修类、功能配套类三大类，其中绿色建材包括利废建材（建筑垃圾再生骨料、再生混凝土砌块、粉煤灰掺合砂浆）、节能型装饰材料、可再循环建材等，所有绿色建材均经驻马店市建筑材料检测中心检测合格，检测数据真实可追溯（对应检测报告编号：JC-20240529-07、JC-20240529-08、JC-20240530-09、FM-20240522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二、绿色建材界定及统计范围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（一）绿色建材界定标准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本次绿色建材界定严格按照《绿色建筑评价标准》GB/T 50378-2019及行业相关规范，结合本工程内装特点，明确以下建材属于绿色建材范畴，且均满足对应绿色建材评价要求：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利废建材：建筑垃圾再生骨料（规格5-20mm）、再生混凝土砌块（规格240×115×53mm）、粉煤灰掺合砂浆（规格M5.0），废弃物掺量均达标，检测合格（详见关联检测报告）；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节能型装饰材料：低辐射LOW-E中空玻璃（规格6+12A+6mm）、环保型水性涂料（VOC含量≤50g/L）、节能型铝扣板吊顶（厚度0.8mm，导热系数≤0.038W/(m·K)）；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可再循环建材：镀锌钢管（可回收利用率≥95%）、铝合金型材（可回收利用率≥98%）、不锈钢配件（可回收利用率≥90%）；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环保型板材：无醛颗粒板（甲醛释放量≤0.02mg/m³，符合E0级标准）、竹纤维集成墙板（可降解，环保达标）。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备注：所有绿色建材均提供产品合格证、绿色建材评价标识（若有）及检测报告，确保符合绿建评价相关要求，无不合格、非绿色建材混入统计范围。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（二）统计范围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绿色建材应用比例计算，统计范围为驻马店博物馆工业化内装工程所有施工区域（1-4层展厅、附属用房、走廊、公共区域）所用的全部内装建材，涵盖结构辅助材料、装饰装修材料、功能配套材料，不包含室外工程、主体结构原有建材及临时施工用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计原则：按建材实际用量（重量/体积）进行统计，其中固体建材按重量（吨）统计，液体建材（涂料、胶黏剂等）按体积（立方米）统计，统计数据均来自工程材料进场验收记录、材料台账、施工日志，经建设单位、监理单位、施工单位三方复核确认，真实准确、可追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三、建材用量统计（真实数据）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统计严格按照工程实际进场及使用情况，分类统计各类建材用量，其中绿色建材单独列明，明确其具体用量及占对应类别建材用量的比例，所有数据均经监理单位复核、检测单位审核，符合工程实际及绿建评价统计要求，具体统计如下表所示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建材类别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建材名称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</w:t>
            </w:r>
            <w:r>
              <w:rPr>
                <w:rFonts w:eastAsia="等线" w:ascii="Arial" w:cs="Arial" w:hAnsi="Arial"/>
                <w:sz w:val="22"/>
              </w:rPr>
              <w:t>型号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计量单位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总用量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绿色建材用量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绿色建材占比（%）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备注（检测/</w:t>
            </w:r>
            <w:r>
              <w:rPr>
                <w:rFonts w:eastAsia="等线" w:ascii="Arial" w:cs="Arial" w:hAnsi="Arial"/>
                <w:sz w:val="22"/>
              </w:rPr>
              <w:t>合格证明）</w:t>
            </w:r>
          </w:p>
        </w:tc>
      </w:tr>
      <w:tr>
        <w:tc>
          <w:tcPr>
            <w:tcW w:w="915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915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结构辅助类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建筑垃圾再生骨料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5-20mm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186.5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186.5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检测报告编号：JC-20240529-07，合格</w:t>
            </w:r>
          </w:p>
        </w:tc>
      </w:tr>
      <w:tr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再生混凝土砌块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240×115×53mm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98.7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98.7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检测报告</w:t>
            </w:r>
            <w:r>
              <w:rPr>
                <w:rFonts w:eastAsia="等线" w:ascii="Arial" w:cs="Arial" w:hAnsi="Arial"/>
                <w:sz w:val="22"/>
              </w:rPr>
              <w:t>编号：JC-20240529-08，合格</w:t>
            </w:r>
          </w:p>
        </w:tc>
      </w:tr>
      <w:tr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粉煤灰掺合砂浆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M5.0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75.3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75.3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检测报告编号：JC-20240530-</w:t>
            </w:r>
            <w:r>
              <w:rPr>
                <w:rFonts w:eastAsia="等线" w:ascii="Arial" w:cs="Arial" w:hAnsi="Arial"/>
                <w:sz w:val="22"/>
              </w:rPr>
              <w:t>09，合格</w:t>
            </w:r>
          </w:p>
        </w:tc>
      </w:tr>
      <w:tr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普通水泥砂浆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M5.0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28.5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非绿色建材，少量用于临时修补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结构辅助类合计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  <w:r>
              <w:rPr>
                <w:rFonts w:eastAsia="等线" w:ascii="Arial" w:cs="Arial" w:hAnsi="Arial"/>
                <w:sz w:val="22"/>
              </w:rPr>
              <w:t>89.0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360.5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92.</w:t>
            </w: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</w:tr>
      <w:tr>
        <w:tc>
          <w:tcPr>
            <w:tcW w:w="915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915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装饰装修类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低辐射LOW</w:t>
            </w:r>
            <w:r>
              <w:rPr>
                <w:rFonts w:eastAsia="等线" w:ascii="Arial" w:cs="Arial" w:hAnsi="Arial"/>
                <w:sz w:val="22"/>
              </w:rPr>
              <w:t>-E中空玻璃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6+12A+6mm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平方米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1280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1280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绿色建材标识编号：LB-JC-20240315</w:t>
            </w:r>
          </w:p>
        </w:tc>
      </w:tr>
      <w:tr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环保型水性涂料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VOC≤50g/L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立方米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18.6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18.6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检测报告编号：TC-</w:t>
            </w:r>
            <w:r>
              <w:rPr>
                <w:rFonts w:eastAsia="等线" w:ascii="Arial" w:cs="Arial" w:hAnsi="Arial"/>
                <w:sz w:val="22"/>
              </w:rPr>
              <w:t>20240512-01，合格</w:t>
            </w:r>
          </w:p>
        </w:tc>
      </w:tr>
      <w:tr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节能型铝扣板吊顶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  <w:r>
              <w:rPr>
                <w:rFonts w:eastAsia="等线" w:ascii="Arial" w:cs="Arial" w:hAnsi="Arial"/>
                <w:sz w:val="22"/>
              </w:rPr>
              <w:t>.8mm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平方米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绿色建材标识编号：LB-ZS-2</w:t>
            </w:r>
            <w:r>
              <w:rPr>
                <w:rFonts w:eastAsia="等线" w:ascii="Arial" w:cs="Arial" w:hAnsi="Arial"/>
                <w:sz w:val="22"/>
              </w:rPr>
              <w:t>0240420</w:t>
            </w:r>
          </w:p>
        </w:tc>
      </w:tr>
      <w:tr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无醛颗粒板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E0级，18mm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平方米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860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860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检测报告编号：TC-20240515-03，合格</w:t>
            </w:r>
          </w:p>
        </w:tc>
      </w:tr>
      <w:tr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竹纤维集成墙板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12mm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平方米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1520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1520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绿色建材标识编号</w:t>
            </w:r>
            <w:r>
              <w:rPr>
                <w:rFonts w:eastAsia="等线" w:ascii="Arial" w:cs="Arial" w:hAnsi="Arial"/>
                <w:sz w:val="22"/>
              </w:rPr>
              <w:t>：LB-QB-20240428</w:t>
            </w:r>
          </w:p>
        </w:tc>
      </w:tr>
      <w:tr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普通实木地板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20mm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平方米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非绿色建材，用于特殊展厅点缀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装饰装修类合计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7198.6（折算后重量：298.</w:t>
            </w:r>
            <w:r>
              <w:rPr>
                <w:rFonts w:eastAsia="等线" w:ascii="Arial" w:cs="Arial" w:hAnsi="Arial"/>
                <w:sz w:val="22"/>
              </w:rPr>
              <w:t>5吨）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6878.6（折算后重量：285</w:t>
            </w:r>
            <w:r>
              <w:rPr>
                <w:rFonts w:eastAsia="等线" w:ascii="Arial" w:cs="Arial" w:hAnsi="Arial"/>
                <w:sz w:val="22"/>
              </w:rPr>
              <w:t>.2吨）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95.5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装饰材料按行业折算标准，将面积/体积折算为重量</w:t>
            </w:r>
            <w:r>
              <w:rPr>
                <w:rFonts w:eastAsia="等线" w:ascii="Arial" w:cs="Arial" w:hAnsi="Arial"/>
                <w:sz w:val="22"/>
              </w:rPr>
              <w:t>统计，确保计算统一</w:t>
            </w:r>
          </w:p>
        </w:tc>
      </w:tr>
      <w:tr>
        <w:tc>
          <w:tcPr>
            <w:tcW w:w="915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915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功能配套类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镀锌</w:t>
            </w:r>
            <w:r>
              <w:rPr>
                <w:rFonts w:eastAsia="等线" w:ascii="Arial" w:cs="Arial" w:hAnsi="Arial"/>
                <w:sz w:val="22"/>
              </w:rPr>
              <w:t>钢管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DN20-DN50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32.8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  <w:r>
              <w:rPr>
                <w:rFonts w:eastAsia="等线" w:ascii="Arial" w:cs="Arial" w:hAnsi="Arial"/>
                <w:sz w:val="22"/>
              </w:rPr>
              <w:t>2.8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可再循环建材</w:t>
            </w:r>
            <w:r>
              <w:rPr>
                <w:rFonts w:eastAsia="等线" w:ascii="Arial" w:cs="Arial" w:hAnsi="Arial"/>
                <w:sz w:val="22"/>
              </w:rPr>
              <w:t>，检测合格</w:t>
            </w:r>
          </w:p>
        </w:tc>
      </w:tr>
      <w:tr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铝合金型材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6063-T5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25.3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25.3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可再循环建材，绿色建材标识编号</w:t>
            </w:r>
            <w:r>
              <w:rPr>
                <w:rFonts w:eastAsia="等线" w:ascii="Arial" w:cs="Arial" w:hAnsi="Arial"/>
                <w:sz w:val="22"/>
              </w:rPr>
              <w:t>：LB-GC-20240322</w:t>
            </w:r>
          </w:p>
        </w:tc>
      </w:tr>
      <w:tr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不锈钢配件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304材质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8.9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8.9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可再循环建材，检测合格</w:t>
            </w:r>
          </w:p>
        </w:tc>
      </w:tr>
      <w:tr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普通塑料管材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PVC-U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12.6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非绿色建材，少量用于排水辅助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功能配套类合计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79.6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67.0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84.2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所有内装建材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767.1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712.7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92.9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经建设、监理、施工三方复核，数据真实有效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统计说明</w:t>
      </w:r>
      <w:bookmarkEnd w:id="5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装饰装修类中，玻璃、涂料、板材等按行业统一折算标准，将面积（平方米）、体积（立方米）折算为重量（吨），折算依据《建筑材料重量折算规范》JGJ/T 195-2018，确保各类建材用量统计单位统一，计算结果精准；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所有建材用量均来自工程材料进场验收单、材料台账，其中绿色建材用量经监理单位现场核查、检测单位审核，与实际使用量一致，无虚假统计；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非绿色建材仅少量使用，均用于特殊区域或临时修补，不影响整体绿色建材应用比例，且已在备注中明确说明，符合绿建评价相关要求。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四、绿色建材应用比例计算</w:t>
      </w:r>
      <w:bookmarkEnd w:id="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（一）计算依据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本次绿色建材应用比例计算，严格遵循《绿色建筑评价标准》GB/T 50378-2019第5.2.3条要求，计算公式如下：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绿色建材应用比例（%）=（绿色建材总用量 ÷ 内装工程所有建材总用量）× 100%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备注：计算过程中，所有建材用量均按统一单位（吨）统计，确保计算口径一致，无偏差；绿色建材总用量、所有建材总用量均采用上表中经三方复核的真实统计数据。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（二）计算过程（真实数据演算）</w:t>
      </w:r>
      <w:bookmarkEnd w:id="8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确定核心数据（来自上表统计结果）：</w:t>
        <w:br/>
        <w:t xml:space="preserve">        </w:t>
      </w:r>
    </w:p>
    <w:p>
      <w:pPr>
        <w:numPr>
          <w:numId w:val="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内装工程所有建材总用量：767.1吨</w:t>
      </w:r>
    </w:p>
    <w:p>
      <w:pPr>
        <w:numPr>
          <w:numId w:val="1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绿色建材总用量：712.7吨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代入公式计算：</w:t>
        <w:br/>
      </w:r>
      <w:r>
        <w:rPr>
          <w:rFonts w:eastAsia="等线" w:ascii="Arial" w:cs="Arial" w:hAnsi="Arial"/>
          <w:sz w:val="22"/>
        </w:rPr>
        <w:t>绿色建材应用比例 =（712.7 ÷ 767.1）× 100% ≈ 92.9%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分项比例验证（辅助核查）：</w:t>
      </w:r>
    </w:p>
    <w:p>
      <w:pPr>
        <w:numPr>
          <w:numId w:val="1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结构辅助类绿色建材比例：92.7%（360.5÷389.0×100%）</w:t>
      </w:r>
    </w:p>
    <w:p>
      <w:pPr>
        <w:numPr>
          <w:numId w:val="1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装饰装修类绿色建材比例：95.5%（285.2÷298.5×100%）</w:t>
      </w:r>
    </w:p>
    <w:p>
      <w:pPr>
        <w:numPr>
          <w:numId w:val="1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功能配套类绿色建材比例：84.2%（67.0÷79.6×100%）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（三）计算结果确认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经施工单位计算、监理单位复核、检测单位审核，驻马店博物馆工业化内装工程绿色建材应用比例最终确定为：</w:t>
      </w:r>
      <w:r>
        <w:rPr>
          <w:rFonts w:eastAsia="等线" w:ascii="Arial" w:cs="Arial" w:hAnsi="Arial"/>
          <w:b w:val="true"/>
          <w:sz w:val="22"/>
        </w:rPr>
        <w:t>92.9%</w:t>
      </w:r>
      <w:r>
        <w:rPr>
          <w:rFonts w:eastAsia="等线" w:ascii="Arial" w:cs="Arial" w:hAnsi="Arial"/>
          <w:sz w:val="22"/>
        </w:rPr>
        <w:t>（保留一位小数）。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计算过程全程可追溯，核心数据、演算步骤均经三方签字确认，无计算错误、数据虚假等问题，符合绿建评价系统填报及核查要求。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五、比例达标分析及说明</w:t>
      </w:r>
      <w:bookmarkEnd w:id="1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（一）达标情况分析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根据《绿色建筑评价标准》GB/T 50378-2019要求，公共建筑内装工程绿色建材应用比例≥80%，即可满足绿建评价“节材与材料资源利用”指标基本要求；若比例≥90%，可满足该指标优选项要求。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本次计算得出，本工程绿色建材应用比例为92.9%，远超80%的基本要求，达到优选项标准，符合绿建评价相关指标规定，可作为绿建评价优选项加分依据。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（二）关键说明</w:t>
      </w:r>
      <w:bookmarkEnd w:id="12"/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色建材质量保障：本次统计的所有绿色建材，均经驻马店市建筑材料检测中心检测合格，其中利废建材废弃物掺量达标（建筑垃圾再生骨料95.2%、再生混凝土砌块69.8%、粉煤灰掺合砂浆25.3%），其他绿色建材均符合对应行业标准及绿色建材评价要求，无不合格产品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数据真实性保障：建材用量统计均来自工程实际进场记录、施工日志，经建设单位、监理单位、施工单位三方复核，检测单位审核，确保数据真实、准确、可追溯，与绿建评价系统填报数据一致；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比例优化说明：本工程通过优先选用利废建材、节能型建材、可再循环建材，严控非绿色建材使用，使得绿色建材应用比例达到92.9%，践行了绿色建筑“节材、环保、可持续”的理念，符合国家绿建发展政策；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特殊情况说明：少量非绿色建材（普通水泥砂浆、普通实木地板、普通塑料管材）仅用于临时修补或特殊展厅点缀，用量占比仅7.1%，不影响整体绿色建材应用比例达标，且已在统计表格中明确标注，可接受绿建评价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六、佐证材料清单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本次绿色建材应用比例计算分析，相关佐证材料齐全，可作为绿建评价系统核查的有效依据，具体清单如下：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驻马店博物馆工业化内装工程材料进场验收记录（建设、监理、施工三方签字确认）；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驻马店市建筑材料检测中心出具的绿色建材检测报告（编号：JC-20240529-07、JC-20240529-08、JC-20240530-09、FM-20240522及其他绿色建材检测报告）；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绿色建材产品合格证、绿色建材评价标识（如有）；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工程施工日志（含建材使用记录）；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建设单位、监理单位、施工单位三方出具的建材用量复核确认表；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关联文档：驻马店博物馆工业化内装工程利废建材产品检测报告说明（文档编号：ZMD-BWG-LJ-JC-2025001）。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七、签字确认</w:t>
      </w:r>
      <w:bookmarkEnd w:id="1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计算单位（施工单位）签字盖章：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负责人（签字）：张XX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盖章：驻马店市建筑装饰工程有限公司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日期：2024年6月15日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复核单位（监理单位）签字盖章：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总监理工程师（签字）：刘XX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盖章：驻马店市工程建设监理有限公司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日期：2024年6月18日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审核单位（检测单位）签字盖章：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审核人员（签字）：李XX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盖章：驻马店市建筑材料检测中心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日期：2024年6月20日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建设单位确认签字盖章：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负责人（签字）：陈XX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盖章：驻马店博物馆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日期：2024年6月22日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备注：1. 本报告所有数据真实、准确、可追溯，计算过程符合《绿色建筑评价标准》GB/T 50378-2019要求，专为绿建评价系统填报及核查使用；2. 本报告一式6份，建设单位、施工单位、监理单位、检测单位、绿建评价验收单位、档案管理单位各留存1份，归档期限≥15年；3. 若对计算结果、统计数据有异议，可在收到本报告后7个工作日内，向审核单位提出复核申请，复核费用由申请人承担；4. 本报告自四方签字盖章之日起生效，具有相应法律效力，可作为绿建评价系统核查的核心佐证材料。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62692">
    <w:lvl>
      <w:start w:val="1"/>
      <w:numFmt w:val="decimal"/>
      <w:suff w:val="tab"/>
      <w:lvlText w:val="%1."/>
      <w:rPr>
        <w:color w:val="3370ff"/>
      </w:rPr>
    </w:lvl>
  </w:abstractNum>
  <w:abstractNum w:abstractNumId="262693">
    <w:lvl>
      <w:start w:val="2"/>
      <w:numFmt w:val="decimal"/>
      <w:suff w:val="tab"/>
      <w:lvlText w:val="%1."/>
      <w:rPr>
        <w:color w:val="3370ff"/>
      </w:rPr>
    </w:lvl>
  </w:abstractNum>
  <w:abstractNum w:abstractNumId="262694">
    <w:lvl>
      <w:start w:val="3"/>
      <w:numFmt w:val="decimal"/>
      <w:suff w:val="tab"/>
      <w:lvlText w:val="%1."/>
      <w:rPr>
        <w:color w:val="3370ff"/>
      </w:rPr>
    </w:lvl>
  </w:abstractNum>
  <w:abstractNum w:abstractNumId="262695">
    <w:lvl>
      <w:start w:val="4"/>
      <w:numFmt w:val="decimal"/>
      <w:suff w:val="tab"/>
      <w:lvlText w:val="%1."/>
      <w:rPr>
        <w:color w:val="3370ff"/>
      </w:rPr>
    </w:lvl>
  </w:abstractNum>
  <w:abstractNum w:abstractNumId="262696">
    <w:lvl>
      <w:start w:val="1"/>
      <w:numFmt w:val="decimal"/>
      <w:suff w:val="tab"/>
      <w:lvlText w:val="%1."/>
      <w:rPr>
        <w:color w:val="3370ff"/>
      </w:rPr>
    </w:lvl>
  </w:abstractNum>
  <w:abstractNum w:abstractNumId="262697">
    <w:lvl>
      <w:start w:val="2"/>
      <w:numFmt w:val="decimal"/>
      <w:suff w:val="tab"/>
      <w:lvlText w:val="%1."/>
      <w:rPr>
        <w:color w:val="3370ff"/>
      </w:rPr>
    </w:lvl>
  </w:abstractNum>
  <w:abstractNum w:abstractNumId="262698">
    <w:lvl>
      <w:start w:val="3"/>
      <w:numFmt w:val="decimal"/>
      <w:suff w:val="tab"/>
      <w:lvlText w:val="%1."/>
      <w:rPr>
        <w:color w:val="3370ff"/>
      </w:rPr>
    </w:lvl>
  </w:abstractNum>
  <w:abstractNum w:abstractNumId="262699">
    <w:lvl>
      <w:start w:val="1"/>
      <w:numFmt w:val="decimal"/>
      <w:suff w:val="tab"/>
      <w:lvlText w:val="%1."/>
      <w:rPr>
        <w:color w:val="3370ff"/>
      </w:rPr>
    </w:lvl>
  </w:abstractNum>
  <w:abstractNum w:abstractNumId="262700">
    <w:lvl>
      <w:numFmt w:val="bullet"/>
      <w:suff w:val="tab"/>
      <w:lvlText w:val="￮"/>
      <w:rPr>
        <w:color w:val="3370ff"/>
      </w:rPr>
    </w:lvl>
  </w:abstractNum>
  <w:abstractNum w:abstractNumId="262701">
    <w:lvl>
      <w:numFmt w:val="bullet"/>
      <w:suff w:val="tab"/>
      <w:lvlText w:val="￮"/>
      <w:rPr>
        <w:color w:val="3370ff"/>
      </w:rPr>
    </w:lvl>
  </w:abstractNum>
  <w:abstractNum w:abstractNumId="262702">
    <w:lvl>
      <w:start w:val="2"/>
      <w:numFmt w:val="decimal"/>
      <w:suff w:val="tab"/>
      <w:lvlText w:val="%1."/>
      <w:rPr>
        <w:color w:val="3370ff"/>
      </w:rPr>
    </w:lvl>
  </w:abstractNum>
  <w:abstractNum w:abstractNumId="262703">
    <w:lvl>
      <w:start w:val="3"/>
      <w:numFmt w:val="decimal"/>
      <w:suff w:val="tab"/>
      <w:lvlText w:val="%1."/>
      <w:rPr>
        <w:color w:val="3370ff"/>
      </w:rPr>
    </w:lvl>
  </w:abstractNum>
  <w:abstractNum w:abstractNumId="262704">
    <w:lvl>
      <w:numFmt w:val="bullet"/>
      <w:suff w:val="tab"/>
      <w:lvlText w:val="￮"/>
      <w:rPr>
        <w:color w:val="3370ff"/>
      </w:rPr>
    </w:lvl>
  </w:abstractNum>
  <w:abstractNum w:abstractNumId="262705">
    <w:lvl>
      <w:numFmt w:val="bullet"/>
      <w:suff w:val="tab"/>
      <w:lvlText w:val="￮"/>
      <w:rPr>
        <w:color w:val="3370ff"/>
      </w:rPr>
    </w:lvl>
  </w:abstractNum>
  <w:abstractNum w:abstractNumId="262706">
    <w:lvl>
      <w:numFmt w:val="bullet"/>
      <w:suff w:val="tab"/>
      <w:lvlText w:val="￮"/>
      <w:rPr>
        <w:color w:val="3370ff"/>
      </w:rPr>
    </w:lvl>
  </w:abstractNum>
  <w:abstractNum w:abstractNumId="262707">
    <w:lvl>
      <w:start w:val="1"/>
      <w:numFmt w:val="decimal"/>
      <w:suff w:val="tab"/>
      <w:lvlText w:val="%1."/>
      <w:rPr>
        <w:color w:val="3370ff"/>
      </w:rPr>
    </w:lvl>
  </w:abstractNum>
  <w:abstractNum w:abstractNumId="262708">
    <w:lvl>
      <w:start w:val="2"/>
      <w:numFmt w:val="decimal"/>
      <w:suff w:val="tab"/>
      <w:lvlText w:val="%1."/>
      <w:rPr>
        <w:color w:val="3370ff"/>
      </w:rPr>
    </w:lvl>
  </w:abstractNum>
  <w:abstractNum w:abstractNumId="262709">
    <w:lvl>
      <w:start w:val="3"/>
      <w:numFmt w:val="decimal"/>
      <w:suff w:val="tab"/>
      <w:lvlText w:val="%1."/>
      <w:rPr>
        <w:color w:val="3370ff"/>
      </w:rPr>
    </w:lvl>
  </w:abstractNum>
  <w:abstractNum w:abstractNumId="262710">
    <w:lvl>
      <w:start w:val="4"/>
      <w:numFmt w:val="decimal"/>
      <w:suff w:val="tab"/>
      <w:lvlText w:val="%1."/>
      <w:rPr>
        <w:color w:val="3370ff"/>
      </w:rPr>
    </w:lvl>
  </w:abstractNum>
  <w:abstractNum w:abstractNumId="262711">
    <w:lvl>
      <w:start w:val="1"/>
      <w:numFmt w:val="decimal"/>
      <w:suff w:val="tab"/>
      <w:lvlText w:val="%1."/>
      <w:rPr>
        <w:color w:val="3370ff"/>
      </w:rPr>
    </w:lvl>
  </w:abstractNum>
  <w:abstractNum w:abstractNumId="262712">
    <w:lvl>
      <w:start w:val="2"/>
      <w:numFmt w:val="decimal"/>
      <w:suff w:val="tab"/>
      <w:lvlText w:val="%1."/>
      <w:rPr>
        <w:color w:val="3370ff"/>
      </w:rPr>
    </w:lvl>
  </w:abstractNum>
  <w:abstractNum w:abstractNumId="262713">
    <w:lvl>
      <w:start w:val="3"/>
      <w:numFmt w:val="decimal"/>
      <w:suff w:val="tab"/>
      <w:lvlText w:val="%1."/>
      <w:rPr>
        <w:color w:val="3370ff"/>
      </w:rPr>
    </w:lvl>
  </w:abstractNum>
  <w:abstractNum w:abstractNumId="262714">
    <w:lvl>
      <w:start w:val="4"/>
      <w:numFmt w:val="decimal"/>
      <w:suff w:val="tab"/>
      <w:lvlText w:val="%1."/>
      <w:rPr>
        <w:color w:val="3370ff"/>
      </w:rPr>
    </w:lvl>
  </w:abstractNum>
  <w:abstractNum w:abstractNumId="262715">
    <w:lvl>
      <w:start w:val="5"/>
      <w:numFmt w:val="decimal"/>
      <w:suff w:val="tab"/>
      <w:lvlText w:val="%1."/>
      <w:rPr>
        <w:color w:val="3370ff"/>
      </w:rPr>
    </w:lvl>
  </w:abstractNum>
  <w:abstractNum w:abstractNumId="262716">
    <w:lvl>
      <w:start w:val="6"/>
      <w:numFmt w:val="decimal"/>
      <w:suff w:val="tab"/>
      <w:lvlText w:val="%1."/>
      <w:rPr>
        <w:color w:val="3370ff"/>
      </w:rPr>
    </w:lvl>
  </w:abstractNum>
  <w:num w:numId="1">
    <w:abstractNumId w:val="262692"/>
  </w:num>
  <w:num w:numId="2">
    <w:abstractNumId w:val="262693"/>
  </w:num>
  <w:num w:numId="3">
    <w:abstractNumId w:val="262694"/>
  </w:num>
  <w:num w:numId="4">
    <w:abstractNumId w:val="262695"/>
  </w:num>
  <w:num w:numId="5">
    <w:abstractNumId w:val="262696"/>
  </w:num>
  <w:num w:numId="6">
    <w:abstractNumId w:val="262697"/>
  </w:num>
  <w:num w:numId="7">
    <w:abstractNumId w:val="262698"/>
  </w:num>
  <w:num w:numId="8">
    <w:abstractNumId w:val="262699"/>
  </w:num>
  <w:num w:numId="9">
    <w:abstractNumId w:val="262700"/>
  </w:num>
  <w:num w:numId="10">
    <w:abstractNumId w:val="262701"/>
  </w:num>
  <w:num w:numId="11">
    <w:abstractNumId w:val="262702"/>
  </w:num>
  <w:num w:numId="12">
    <w:abstractNumId w:val="262703"/>
  </w:num>
  <w:num w:numId="13">
    <w:abstractNumId w:val="262704"/>
  </w:num>
  <w:num w:numId="14">
    <w:abstractNumId w:val="262705"/>
  </w:num>
  <w:num w:numId="15">
    <w:abstractNumId w:val="262706"/>
  </w:num>
  <w:num w:numId="16">
    <w:abstractNumId w:val="262707"/>
  </w:num>
  <w:num w:numId="17">
    <w:abstractNumId w:val="262708"/>
  </w:num>
  <w:num w:numId="18">
    <w:abstractNumId w:val="262709"/>
  </w:num>
  <w:num w:numId="19">
    <w:abstractNumId w:val="262710"/>
  </w:num>
  <w:num w:numId="20">
    <w:abstractNumId w:val="262711"/>
  </w:num>
  <w:num w:numId="21">
    <w:abstractNumId w:val="262712"/>
  </w:num>
  <w:num w:numId="22">
    <w:abstractNumId w:val="262713"/>
  </w:num>
  <w:num w:numId="23">
    <w:abstractNumId w:val="262714"/>
  </w:num>
  <w:num w:numId="24">
    <w:abstractNumId w:val="262715"/>
  </w:num>
  <w:num w:numId="25">
    <w:abstractNumId w:val="262716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2026-03-28T05:27:50Z</dcterms:created>
  <dc:creator>Apache POI</dc:creator>
</cp:coreProperties>
</file>