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4.2.8 耐久性好的建筑结构材料使用情况统计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一、总则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编制目的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为落实《绿色建筑评价标准》（GB/T 50378-2019）第4.2.8条“提高建筑结构材料的耐久性”要求，明确本项目建筑结构材料的选用标准、使用范围及耐久性保障措施，通过详细统计耐久性能好的建筑结构材料使用情况，为该评分项的评价提供真实、准确、完整的佐证依据，确保满足绿建评价评分要求，特编制本统计文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适用范围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统计文档适用于本绿色建筑项目所有建筑结构材料（混凝土构件、钢构件、木构件）的耐久性统计，涵盖建筑主体结构、附属结构及关键受力构件所使用的各类结构材料，包括材料规格、型号、用量、耐久性指标及应用部位等内容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1.3 统计依据</w:t>
      </w:r>
      <w:bookmarkEnd w:id="3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《绿色建筑评价标准》（GB/T 50378-2019）第4.2.8条相关要求；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《混凝土结构耐久性设计标准》（GB/T 50476-2019）；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《耐候结构钢》（GB/T 4171-2008）；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《防腐木材工程应用技术规范》（GB/T 50828-2021）；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本项目建筑结构设计图纸、材料进场检验报告、材料合格证；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国家及地方关于建筑结构材料耐久性相关的规范、标准及要求。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1.4 统计原则</w:t>
      </w:r>
      <w:bookmarkEnd w:id="4"/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真实性：所有统计数据均来源于本项目实际材料进场记录、施工验收资料及检测报告，确保数据真实、准确，无虚假填报；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完整性：全面覆盖项目所有结构构件，不遗漏混凝土、钢、木各类构件所使用的耐久材料，确保统计内容完整；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规范性：统计格式统一、条理清晰，明确材料名称、规格、用量、耐久性指标及应用部位，符合绿建评价资料归档要求。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二、项目概况及耐久性设计说明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综合办公及配套设施项目，总建筑面积42680.30㎡，地上19层，地下2层，建筑主体采用钢筋混凝土框架结构，局部附属结构采用钢构件，部分公共区域装饰及配套结构采用木构件。本项目结合建筑使用年限及绿建评价要求，未按100年进行耐久性设计，采用“选用耐久性能好的建筑结构材料”的方式提升结构耐久性，各类构件均选用符合规范要求的高耐久性材料，具体选用方案及统计如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三、耐久性好的建筑结构材料使用情况详细统计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严格按照《绿色建筑评价标准》4.2.8条第2款要求，针对混凝土构件、钢构件、木构件分别选用耐久性能好的结构材料，具体使用情况按构件类型分类统计，各类材料均满足对应耐久性要求，符合该评分项10分评分标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3.1 混凝土构件：采用高耐久混凝土及提高钢筋保护层厚度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本项目建筑主体框架、楼板、梁柱等混凝土构件，均采用高耐久混凝土浇筑，并严格提高钢筋保护层厚度，确保混凝土构件耐久性，具体统计如下表：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构件类型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混凝土强度等级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耐久性等级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钢筋保护层厚度（mm）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设计使用年限（年）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用量（m³）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应用部位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框架柱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C40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设计使用年限50年，耐久性等级K2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1860.50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地上1-19层、地下1-2层主体框架柱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框架梁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C35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设计使用年限50</w:t>
            </w:r>
            <w:r>
              <w:rPr>
                <w:rFonts w:eastAsia="等线" w:ascii="Arial" w:cs="Arial" w:hAnsi="Arial"/>
                <w:sz w:val="22"/>
              </w:rPr>
              <w:t>年，耐久性等级K2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2120.30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地上1-19层、地下1-2层框架梁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楼板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C3</w:t>
            </w: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设计使用年限50年，耐久性等级K1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4280.70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地上</w:t>
            </w:r>
            <w:r>
              <w:rPr>
                <w:rFonts w:eastAsia="等线" w:ascii="Arial" w:cs="Arial" w:hAnsi="Arial"/>
                <w:sz w:val="22"/>
              </w:rPr>
              <w:t>1-19层楼板、地下1-2层楼板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基础构件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</w:t>
            </w:r>
            <w:r>
              <w:rPr>
                <w:rFonts w:eastAsia="等线" w:ascii="Arial" w:cs="Arial" w:hAnsi="Arial"/>
                <w:sz w:val="22"/>
              </w:rPr>
              <w:t>45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设计使用年限50年，耐久性等级K</w:t>
            </w: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3250.20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独立基础、筏板基础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11511.70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建筑主体及基础全部混凝土构件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说明：高耐久混凝土均添加复合型矿物掺合料（粉煤灰、矿渣粉）及高效阻锈剂，降低混凝土渗透性，提高抗碳化、抗氯离子侵蚀能力；钢筋保护层厚度均比规范最低要求提高5-10mm，进一步提升混凝土构件耐久性，所有混凝土材料均提供进场检测报告，耐久性指标符合《混凝土结构耐久性设计标准》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3.2 钢构件：采用耐候型防腐涂料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本项目局部附属结构（屋面支撑、雨棚、楼梯栏杆）采用普通碳素结构钢，全部采用耐候型防腐涂料进行处理，提升钢构件耐久性，具体统计如下表：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构件类型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钢材型号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耐候型防腐涂料型号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涂料涂刷厚度（μm）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防腐年限（年）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用量（t）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应用部位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屋面支撑构件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Q235B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氟碳耐候防腐涂料（底漆+面漆）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86.30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地上19层屋面支撑、女儿墙支撑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雨</w:t>
            </w:r>
            <w:r>
              <w:rPr>
                <w:rFonts w:eastAsia="等线" w:ascii="Arial" w:cs="Arial" w:hAnsi="Arial"/>
                <w:sz w:val="22"/>
              </w:rPr>
              <w:t>棚构件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Q235B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氟碳耐候防腐涂料（底漆+面漆）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</w:t>
            </w:r>
            <w:r>
              <w:rPr>
                <w:rFonts w:eastAsia="等线" w:ascii="Arial" w:cs="Arial" w:hAnsi="Arial"/>
                <w:sz w:val="22"/>
              </w:rPr>
              <w:t>.70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主入口雨棚、办公区域外</w:t>
            </w:r>
            <w:r>
              <w:rPr>
                <w:rFonts w:eastAsia="等线" w:ascii="Arial" w:cs="Arial" w:hAnsi="Arial"/>
                <w:sz w:val="22"/>
              </w:rPr>
              <w:t>雨棚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楼梯栏杆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Q235B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丙烯酸耐候防腐涂料（底漆+面漆）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18.50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地上1-19层疏散楼梯、</w:t>
            </w:r>
            <w:r>
              <w:rPr>
                <w:rFonts w:eastAsia="等线" w:ascii="Arial" w:cs="Arial" w:hAnsi="Arial"/>
                <w:sz w:val="22"/>
              </w:rPr>
              <w:t>室外楼梯栏杆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137.50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项目所有钢构件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说明：耐候型防腐涂料均通过国家相关检测，具备优异的抗紫外线、抗风雨侵蚀、抗锈蚀能力；涂刷过程严格按规范执行，先进行除锈处理（除锈等级达到Sa2.5级），再涂刷底漆、面漆，确保涂刷均匀、无漏涂，所有涂料均提供产品合格证及检测报告，符合《耐候结构钢》相关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3.3 木构件：采用防腐木材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本项目公共区域装饰、室外景观配套及部分辅助结构采用木构件，全部选用防腐木材，提升木构件耐久性，具体统计如下表：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构件类型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防腐木材种类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防腐处理方式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防腐等级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用量（m³）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应用部位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室内装饰木构件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樟子松防腐木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加压浸注防腐处理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C3级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42.80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大厅</w:t>
            </w:r>
            <w:r>
              <w:rPr>
                <w:rFonts w:eastAsia="等线" w:ascii="Arial" w:cs="Arial" w:hAnsi="Arial"/>
                <w:sz w:val="22"/>
              </w:rPr>
              <w:t>装饰吊顶、走廊装饰线条、会议室背景墙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室外景观木构件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防腐柳桉木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加压浸注防腐处理+表面耐候漆涂刷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C4级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78.50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室外景观平台、木栈道、休闲座椅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辅助木构件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防腐杉木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加压浸注防腐处理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C3级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16.20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设备机房检修平台、室外围栏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137.50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项目所有木构件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说明：防腐木材均采用环保型防腐药剂，无有毒有害物质，符合《防腐木材工程应用技术规范》要求；防腐处理后木材具备优异的抗腐朽、抗虫蛀、抗霉变能力，室内木构件防腐等级满足室内环境使用要求，室外木构件防腐等级满足露天环境使用要求，所有防腐木材均提供产品合格证及防腐检测报告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四、材料耐久性检测及保障措施</w:t>
      </w:r>
      <w:bookmarkEnd w:id="1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4.1 材料检测</w:t>
      </w:r>
      <w:bookmarkEnd w:id="11"/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所有耐久性结构材料进场时，均由建设单位、监理单位、施工单位共同验收，核查材料合格证、检测报告，确保材料符合设计及规范要求；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混凝土构件抽样送检，检测混凝土抗压强度、抗碳化性能、抗氯离子渗透性能等耐久性指标，检测结果均合格；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钢构件防腐涂料抽样送检，检测涂料附着力、耐候性、抗锈蚀性能，检测结果均符合规范要求；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防腐木材抽样送检，检测防腐药剂保留量、抗腐朽性能，检测结果均符合规范要求，所有检测报告均留存归档。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4.2 施工保障措施</w:t>
      </w:r>
      <w:bookmarkEnd w:id="12"/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混凝土构件施工时，严格控制配合比，确保高耐久混凝土质量，加强养护，养护时间不低于14天，避免混凝土出现裂缝，影响耐久性；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钢构件施工时，严格执行除锈、涂刷工艺，确保防腐涂料涂刷质量，涂刷完成后进行隐蔽工程验收，验收合格后方可进行下一道工序；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木构件施工时，避免与潮湿土壤直接接触，设置防潮垫层，室内木构件做好通风处理，室外木构件定期检查，及时补涂耐候漆，延长使用寿命。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4.3 后期运维保障</w:t>
      </w:r>
      <w:bookmarkEnd w:id="13"/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建立建筑结构材料耐久性运维台账，定期对混凝土构件、钢构件、木构件进行检查，记录材料使用状态；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每5年对钢构件防腐涂料进行检查，若出现脱落、锈蚀，及时进行补涂处理；每3年对防腐木材进行检查，及时补涂防腐药剂，确保耐久性；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定期对混凝土构件进行裂缝、碳化检测，发现问题及时处理，保障混凝土构件长期耐久性。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五、评分说明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本项目未按100年进行耐久性设计，严格按照《绿色建筑评价标准》4.2.8条第2款要求，针对混凝土构件、钢构件、木构件分别选用耐久性能好的建筑结构材料，具体满足以下条件：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混凝土构件：采用高耐久混凝土，并提高钢筋保护层厚度，符合第2款第1项要求；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钢构件：采用耐候型防腐涂料，符合第2款第2项要求；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木构件：采用防腐木材，符合第2款第3项要求。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综上，本项目已满足“采用耐久性能好的建筑结构材料”的评分要求，该评分项得10分。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六、附则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本统计文档严格遵循《绿色建筑评价标准》（GB/T 50378-2019）第4.2.8条要求，所有统计数据真实、完整，未尽事宜，按照国家及地方相关规范、标准执行；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本统计文档由本项目建设单位负责解释，设计单位、施工单位、监理单位需严格核对统计数据，确保准确无误；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本统计文档及相关佐证材料（材料合格证、检测报告、施工记录等）留存归档，作为绿建评价的重要佐证材料；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本统计文档自编制完成之日起生效，若国家及地方相关规范、标准更新，按最新规范、标准调整。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七、附件</w:t>
      </w:r>
      <w:bookmarkEnd w:id="16"/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附件1：高耐久混凝土检测报告及材料合格证；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附件2：耐候型防腐涂料检测报告及材料合格证；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附件3：防腐木材检测报告及材料合格证；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附件4：建筑结构材料进场验收记录；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附件5：混凝土构件、钢构件、木构件施工验收记录。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生成）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411341">
    <w:lvl>
      <w:numFmt w:val="bullet"/>
      <w:suff w:val="tab"/>
      <w:lvlText w:val="•"/>
      <w:rPr>
        <w:color w:val="3370ff"/>
      </w:rPr>
    </w:lvl>
  </w:abstractNum>
  <w:abstractNum w:abstractNumId="411342">
    <w:lvl>
      <w:numFmt w:val="bullet"/>
      <w:suff w:val="tab"/>
      <w:lvlText w:val="•"/>
      <w:rPr>
        <w:color w:val="3370ff"/>
      </w:rPr>
    </w:lvl>
  </w:abstractNum>
  <w:abstractNum w:abstractNumId="411343">
    <w:lvl>
      <w:numFmt w:val="bullet"/>
      <w:suff w:val="tab"/>
      <w:lvlText w:val="•"/>
      <w:rPr>
        <w:color w:val="3370ff"/>
      </w:rPr>
    </w:lvl>
  </w:abstractNum>
  <w:abstractNum w:abstractNumId="411344">
    <w:lvl>
      <w:numFmt w:val="bullet"/>
      <w:suff w:val="tab"/>
      <w:lvlText w:val="•"/>
      <w:rPr>
        <w:color w:val="3370ff"/>
      </w:rPr>
    </w:lvl>
  </w:abstractNum>
  <w:abstractNum w:abstractNumId="411345">
    <w:lvl>
      <w:numFmt w:val="bullet"/>
      <w:suff w:val="tab"/>
      <w:lvlText w:val="•"/>
      <w:rPr>
        <w:color w:val="3370ff"/>
      </w:rPr>
    </w:lvl>
  </w:abstractNum>
  <w:abstractNum w:abstractNumId="411346">
    <w:lvl>
      <w:numFmt w:val="bullet"/>
      <w:suff w:val="tab"/>
      <w:lvlText w:val="•"/>
      <w:rPr>
        <w:color w:val="3370ff"/>
      </w:rPr>
    </w:lvl>
  </w:abstractNum>
  <w:abstractNum w:abstractNumId="411347">
    <w:lvl>
      <w:numFmt w:val="bullet"/>
      <w:suff w:val="tab"/>
      <w:lvlText w:val="•"/>
      <w:rPr>
        <w:color w:val="3370ff"/>
      </w:rPr>
    </w:lvl>
  </w:abstractNum>
  <w:abstractNum w:abstractNumId="411348">
    <w:lvl>
      <w:numFmt w:val="bullet"/>
      <w:suff w:val="tab"/>
      <w:lvlText w:val="•"/>
      <w:rPr>
        <w:color w:val="3370ff"/>
      </w:rPr>
    </w:lvl>
  </w:abstractNum>
  <w:abstractNum w:abstractNumId="411349">
    <w:lvl>
      <w:numFmt w:val="bullet"/>
      <w:suff w:val="tab"/>
      <w:lvlText w:val="•"/>
      <w:rPr>
        <w:color w:val="3370ff"/>
      </w:rPr>
    </w:lvl>
  </w:abstractNum>
  <w:abstractNum w:abstractNumId="411350">
    <w:lvl>
      <w:numFmt w:val="bullet"/>
      <w:suff w:val="tab"/>
      <w:lvlText w:val="•"/>
      <w:rPr>
        <w:color w:val="3370ff"/>
      </w:rPr>
    </w:lvl>
  </w:abstractNum>
  <w:abstractNum w:abstractNumId="411351">
    <w:lvl>
      <w:numFmt w:val="bullet"/>
      <w:suff w:val="tab"/>
      <w:lvlText w:val="•"/>
      <w:rPr>
        <w:color w:val="3370ff"/>
      </w:rPr>
    </w:lvl>
  </w:abstractNum>
  <w:abstractNum w:abstractNumId="411352">
    <w:lvl>
      <w:numFmt w:val="bullet"/>
      <w:suff w:val="tab"/>
      <w:lvlText w:val="•"/>
      <w:rPr>
        <w:color w:val="3370ff"/>
      </w:rPr>
    </w:lvl>
  </w:abstractNum>
  <w:abstractNum w:abstractNumId="411353">
    <w:lvl>
      <w:numFmt w:val="bullet"/>
      <w:suff w:val="tab"/>
      <w:lvlText w:val="•"/>
      <w:rPr>
        <w:color w:val="3370ff"/>
      </w:rPr>
    </w:lvl>
  </w:abstractNum>
  <w:abstractNum w:abstractNumId="411354">
    <w:lvl>
      <w:numFmt w:val="bullet"/>
      <w:suff w:val="tab"/>
      <w:lvlText w:val="•"/>
      <w:rPr>
        <w:color w:val="3370ff"/>
      </w:rPr>
    </w:lvl>
  </w:abstractNum>
  <w:abstractNum w:abstractNumId="411355">
    <w:lvl>
      <w:numFmt w:val="bullet"/>
      <w:suff w:val="tab"/>
      <w:lvlText w:val="•"/>
      <w:rPr>
        <w:color w:val="3370ff"/>
      </w:rPr>
    </w:lvl>
  </w:abstractNum>
  <w:abstractNum w:abstractNumId="411356">
    <w:lvl>
      <w:numFmt w:val="bullet"/>
      <w:suff w:val="tab"/>
      <w:lvlText w:val="•"/>
      <w:rPr>
        <w:color w:val="3370ff"/>
      </w:rPr>
    </w:lvl>
  </w:abstractNum>
  <w:abstractNum w:abstractNumId="411357">
    <w:lvl>
      <w:numFmt w:val="bullet"/>
      <w:suff w:val="tab"/>
      <w:lvlText w:val="•"/>
      <w:rPr>
        <w:color w:val="3370ff"/>
      </w:rPr>
    </w:lvl>
  </w:abstractNum>
  <w:abstractNum w:abstractNumId="411358">
    <w:lvl>
      <w:numFmt w:val="bullet"/>
      <w:suff w:val="tab"/>
      <w:lvlText w:val="•"/>
      <w:rPr>
        <w:color w:val="3370ff"/>
      </w:rPr>
    </w:lvl>
  </w:abstractNum>
  <w:abstractNum w:abstractNumId="411359">
    <w:lvl>
      <w:numFmt w:val="bullet"/>
      <w:suff w:val="tab"/>
      <w:lvlText w:val="•"/>
      <w:rPr>
        <w:color w:val="3370ff"/>
      </w:rPr>
    </w:lvl>
  </w:abstractNum>
  <w:abstractNum w:abstractNumId="411360">
    <w:lvl>
      <w:numFmt w:val="bullet"/>
      <w:suff w:val="tab"/>
      <w:lvlText w:val="•"/>
      <w:rPr>
        <w:color w:val="3370ff"/>
      </w:rPr>
    </w:lvl>
  </w:abstractNum>
  <w:abstractNum w:abstractNumId="411361">
    <w:lvl>
      <w:numFmt w:val="bullet"/>
      <w:suff w:val="tab"/>
      <w:lvlText w:val="•"/>
      <w:rPr>
        <w:color w:val="3370ff"/>
      </w:rPr>
    </w:lvl>
  </w:abstractNum>
  <w:abstractNum w:abstractNumId="411362">
    <w:lvl>
      <w:numFmt w:val="bullet"/>
      <w:suff w:val="tab"/>
      <w:lvlText w:val="•"/>
      <w:rPr>
        <w:color w:val="3370ff"/>
      </w:rPr>
    </w:lvl>
  </w:abstractNum>
  <w:abstractNum w:abstractNumId="411363">
    <w:lvl>
      <w:numFmt w:val="bullet"/>
      <w:suff w:val="tab"/>
      <w:lvlText w:val="•"/>
      <w:rPr>
        <w:color w:val="3370ff"/>
      </w:rPr>
    </w:lvl>
  </w:abstractNum>
  <w:abstractNum w:abstractNumId="411364">
    <w:lvl>
      <w:numFmt w:val="bullet"/>
      <w:suff w:val="tab"/>
      <w:lvlText w:val="•"/>
      <w:rPr>
        <w:color w:val="3370ff"/>
      </w:rPr>
    </w:lvl>
  </w:abstractNum>
  <w:abstractNum w:abstractNumId="411365">
    <w:lvl>
      <w:numFmt w:val="bullet"/>
      <w:suff w:val="tab"/>
      <w:lvlText w:val="•"/>
      <w:rPr>
        <w:color w:val="3370ff"/>
      </w:rPr>
    </w:lvl>
  </w:abstractNum>
  <w:abstractNum w:abstractNumId="411366">
    <w:lvl>
      <w:numFmt w:val="bullet"/>
      <w:suff w:val="tab"/>
      <w:lvlText w:val="•"/>
      <w:rPr>
        <w:color w:val="3370ff"/>
      </w:rPr>
    </w:lvl>
  </w:abstractNum>
  <w:abstractNum w:abstractNumId="411367">
    <w:lvl>
      <w:numFmt w:val="bullet"/>
      <w:suff w:val="tab"/>
      <w:lvlText w:val="•"/>
      <w:rPr>
        <w:color w:val="3370ff"/>
      </w:rPr>
    </w:lvl>
  </w:abstractNum>
  <w:num w:numId="1">
    <w:abstractNumId w:val="411341"/>
  </w:num>
  <w:num w:numId="2">
    <w:abstractNumId w:val="411342"/>
  </w:num>
  <w:num w:numId="3">
    <w:abstractNumId w:val="411343"/>
  </w:num>
  <w:num w:numId="4">
    <w:abstractNumId w:val="411344"/>
  </w:num>
  <w:num w:numId="5">
    <w:abstractNumId w:val="411345"/>
  </w:num>
  <w:num w:numId="6">
    <w:abstractNumId w:val="411346"/>
  </w:num>
  <w:num w:numId="7">
    <w:abstractNumId w:val="411347"/>
  </w:num>
  <w:num w:numId="8">
    <w:abstractNumId w:val="411348"/>
  </w:num>
  <w:num w:numId="9">
    <w:abstractNumId w:val="411349"/>
  </w:num>
  <w:num w:numId="10">
    <w:abstractNumId w:val="411350"/>
  </w:num>
  <w:num w:numId="11">
    <w:abstractNumId w:val="411351"/>
  </w:num>
  <w:num w:numId="12">
    <w:abstractNumId w:val="411352"/>
  </w:num>
  <w:num w:numId="13">
    <w:abstractNumId w:val="411353"/>
  </w:num>
  <w:num w:numId="14">
    <w:abstractNumId w:val="411354"/>
  </w:num>
  <w:num w:numId="15">
    <w:abstractNumId w:val="411355"/>
  </w:num>
  <w:num w:numId="16">
    <w:abstractNumId w:val="411356"/>
  </w:num>
  <w:num w:numId="17">
    <w:abstractNumId w:val="411357"/>
  </w:num>
  <w:num w:numId="18">
    <w:abstractNumId w:val="411358"/>
  </w:num>
  <w:num w:numId="19">
    <w:abstractNumId w:val="411359"/>
  </w:num>
  <w:num w:numId="20">
    <w:abstractNumId w:val="411360"/>
  </w:num>
  <w:num w:numId="21">
    <w:abstractNumId w:val="411361"/>
  </w:num>
  <w:num w:numId="22">
    <w:abstractNumId w:val="411362"/>
  </w:num>
  <w:num w:numId="23">
    <w:abstractNumId w:val="411363"/>
  </w:num>
  <w:num w:numId="24">
    <w:abstractNumId w:val="411364"/>
  </w:num>
  <w:num w:numId="25">
    <w:abstractNumId w:val="411365"/>
  </w:num>
  <w:num w:numId="26">
    <w:abstractNumId w:val="411366"/>
  </w:num>
  <w:num w:numId="27">
    <w:abstractNumId w:val="411367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2026-03-26T13:26:27Z</dcterms:created>
  <dc:creator>Apache POI</dc:creator>
</cp:coreProperties>
</file>