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水资源利用方案及节水器具产品说明书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：LS-SZ-2026-012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适用项目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项目概况与编制依据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项目水资源利用总体方案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用水计量装置配置说明（条款1落实）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水压控制与减压设施设计（条款2落实）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节水器具、设备选型及产品说明书（条款3落实）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节水合规性判定与结论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签字确认页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项目概况与编制依据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项目基础信息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公共文化建筑（博物馆），地上3层，含展厅、办公区、公共卫生间、设备机房、景观绿化区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水源类型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市政自来水、雨水回收利用（景观补水）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编制依据</w:t>
      </w:r>
      <w:bookmarkEnd w:id="3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 第7.2.1条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《节水型产品通用技术条件》GB/T 18870-2002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《建筑给水排水设计标准》GB 50015-2019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《公共建筑节能节水设计标准》GB 50189-2015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项目建筑施工图、给水排水专项设计图纸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编制说明</w:t>
            </w:r>
            <w:r>
              <w:rPr>
                <w:rFonts w:ascii="Arial" w:hAnsi="Arial" w:eastAsia="等线" w:cs="Arial"/>
                <w:sz w:val="22"/>
              </w:rPr>
              <w:t>：本方案严格对标绿建评价系统水资源利用相关条款，统筹市政自来水与雨水资源利用，落实用水计量、减压设施、节水器具三大硬性要求，所有选型数据、配置参数均符合现行国标规范，可作为绿建评审佐证资料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项目水资源利用总体方案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本项目秉持“节水优先、统筹利用、分类管控”原则，结合豫南地区气候及博物馆用水特点，构建“市政自来水保障+雨水回收利用”的双水源供水体系，实现水资源精细化管控：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生活用水</w:t>
      </w:r>
      <w:r>
        <w:rPr>
          <w:rFonts w:ascii="Arial" w:hAnsi="Arial" w:eastAsia="等线" w:cs="Arial"/>
          <w:sz w:val="22"/>
        </w:rPr>
        <w:t>：全部采用市政自来水，按用途、管理单元分路供水，配套计量与节水设施，杜绝浪费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景观绿化用水</w:t>
      </w:r>
      <w:r>
        <w:rPr>
          <w:rFonts w:ascii="Arial" w:hAnsi="Arial" w:eastAsia="等线" w:cs="Arial"/>
          <w:sz w:val="22"/>
        </w:rPr>
        <w:t>：优先采用屋面雨水回收净化后的中水，不足部分由市政自来水补充，实现非传统水源替代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设备冷却用水</w:t>
      </w:r>
      <w:r>
        <w:rPr>
          <w:rFonts w:ascii="Arial" w:hAnsi="Arial" w:eastAsia="等线" w:cs="Arial"/>
          <w:sz w:val="22"/>
        </w:rPr>
        <w:t>：采用循环利用系统，减少新鲜水消耗量，提升水资源重复利用率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全流程管控</w:t>
      </w:r>
      <w:r>
        <w:rPr>
          <w:rFonts w:ascii="Arial" w:hAnsi="Arial" w:eastAsia="等线" w:cs="Arial"/>
          <w:sz w:val="22"/>
        </w:rPr>
        <w:t>：落实用水计量、减压降噪、节水器具选型三大要求，建立完整节水运维体系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经测算，项目整体节水率可达38%，非传统水源利用率达15%，完全满足绿色建筑节水管控目标。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用水计量装置配置说明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严格按照绿建要求，按</w:t>
      </w:r>
      <w:r>
        <w:rPr>
          <w:rFonts w:ascii="Arial" w:hAnsi="Arial" w:eastAsia="等线" w:cs="Arial"/>
          <w:b/>
          <w:sz w:val="22"/>
        </w:rPr>
        <w:t>使用用途、付费/管理单元</w:t>
      </w:r>
      <w:r>
        <w:rPr>
          <w:rFonts w:ascii="Arial" w:hAnsi="Arial" w:eastAsia="等线" w:cs="Arial"/>
          <w:sz w:val="22"/>
        </w:rPr>
        <w:t>分别设置用水计量装置，实现分户、分类、分区精准计量，便于用水统计、费用核算及节水管控，具体配置如下：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计量单元/用水用途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计量装置型号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公共展厅生活用水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 LXS-20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各楼层展厅给水支管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分类计量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办公区生活用水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 LXS-15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办公区给水总管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管理单元计量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 LXS-25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各卫生间给水支管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分类计量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设备机房冷却用水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螺翼式冷水水表 LXL-50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设备机房给水总管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分类计量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景观绿化灌溉用水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旋翼式冷水水表 LXS-32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绿化给水总管、雨水回用管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双水源分别计量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项目总进水计量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螺翼式冷水水表 LXL-80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市政给水引入管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B级（±2%）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总用水量核算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所有计量装置均具备</w:t>
            </w:r>
            <w:r>
              <w:rPr>
                <w:rFonts w:ascii="Arial" w:hAnsi="Arial" w:eastAsia="等线" w:cs="Arial"/>
                <w:b/>
                <w:sz w:val="22"/>
              </w:rPr>
              <w:t>远程抄表、数据存储</w:t>
            </w:r>
            <w:r>
              <w:rPr>
                <w:rFonts w:ascii="Arial" w:hAnsi="Arial" w:eastAsia="等线" w:cs="Arial"/>
                <w:sz w:val="22"/>
              </w:rPr>
              <w:t>功能，安装前经第三方计量检定合格，实现全用水环节无死角计量，完全符合绿建“分用途、分单元设置计量装置”的要求。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水压控制与减压设施设计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水压现状分析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市政给水入户压力为0.35MPa，部分高层用水点、支管末端水压超过0.2MPa，若不采取减压措施，易造成用水器具漏水、爆管、水资源浪费等问题。设计严格执行“水压大于0.2MPa配水支管设置减压设施”要求，同时保障用水器具最低工作压力（≥0.05MPa）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减压设施配置明细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减压支管位置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原水压值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减压设施型号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减压后压力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二层展厅配水支管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比例式减压阀 Y43X-16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符合（0.05-0.2MPa）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三层办公区配水支管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比例式减压阀 Y43X-16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符合（0.05-0.2MPa）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公共卫生间高位支管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0.26MPa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支管减压孔板 Φ12mm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0.12MPa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符合（0.05-0.2MPa）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设备机房给水支管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0.24MPa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比例式减压阀 Y43X-16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0.12MPa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符合（0.05-0.2MPa）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所有减压设施均经过水力计算校核，减压后水压稳定在0.10-0.15MPa之间，既满足用水器具最低工作压力要求，又避免超压出水造成的水资源浪费，同时延长管道及器具使用寿命。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5 节水器具、设备选型及产品说明书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本项目所有用水器具、设备均严格符合《节水型产品通用技术条件》GB/T 18870要求，选用国标认证节水型产品，杜绝非节水器具入场安装，核心器具选型及产品参数如下：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5.1 节水器具汇总表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器具类型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节水型坐便器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箭牌 AB1116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双档冲水：3L/4.5L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18870 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各楼层公共卫生间、办公区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节水型小便器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惠达 HUI511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感应冲水：2L/次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18870 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公共卫生间男士区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节水型洗脸盆水嘴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九牧 32150-129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限流流量≤0.12L/s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18870 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公共卫生间、展厅洗手区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感应式节水水嘴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摩恩 6111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感应出水，超时断流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18870 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展厅公共洗手台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节水型淋浴喷头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华帝 HD8801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流量≤0.15L/s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18870 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后勤洗浴间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雨水回收处理设备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亿禾 YH-YS5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处理能力5m³/h，回用率90%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节水设备认证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地下设备机房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循环冷却水设备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格力 RL-10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重复利用率≥85%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节能节水认证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5.2 核心节水器具产品说明书（节选）</w:t>
      </w:r>
      <w:bookmarkEnd w:id="11"/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5.2.1 节水型坐便器产品说明书</w:t>
      </w:r>
      <w:bookmarkEnd w:id="12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产品型号</w:t>
      </w:r>
      <w:r>
        <w:rPr>
          <w:rFonts w:ascii="Arial" w:hAnsi="Arial" w:eastAsia="等线" w:cs="Arial"/>
          <w:sz w:val="22"/>
        </w:rPr>
        <w:t>：箭牌 AB1116 双档节水坐便器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：GB/T 18870-2002《节水型产品通用技术条件》、GB 6952-2015《卫生陶瓷》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核心节水参数</w:t>
      </w:r>
      <w:r>
        <w:rPr>
          <w:rFonts w:ascii="Arial" w:hAnsi="Arial" w:eastAsia="等线" w:cs="Arial"/>
          <w:sz w:val="22"/>
        </w:rPr>
        <w:t>：大档冲水4.5L，小档冲水3L，远低于国标限定6L用水量，节水率达40%以上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产品特性</w:t>
      </w:r>
      <w:r>
        <w:rPr>
          <w:rFonts w:ascii="Arial" w:hAnsi="Arial" w:eastAsia="等线" w:cs="Arial"/>
          <w:sz w:val="22"/>
        </w:rPr>
        <w:t>：虹吸式冲水，静音节水，防堵塞设计，陶瓷釉面抗污易清洁，配备节水型进水阀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认证资质</w:t>
      </w:r>
      <w:r>
        <w:rPr>
          <w:rFonts w:ascii="Arial" w:hAnsi="Arial" w:eastAsia="等线" w:cs="Arial"/>
          <w:sz w:val="22"/>
        </w:rPr>
        <w:t>：国家节水产品认证、绿色建材认证，检测报告编号：JC-JS-2025-128</w:t>
      </w:r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5.2.2 感应式节水水嘴产品说明书</w:t>
      </w:r>
      <w:bookmarkEnd w:id="13"/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产品型号</w:t>
      </w:r>
      <w:r>
        <w:rPr>
          <w:rFonts w:ascii="Arial" w:hAnsi="Arial" w:eastAsia="等线" w:cs="Arial"/>
          <w:sz w:val="22"/>
        </w:rPr>
        <w:t>：摩恩 6111 感应节水水嘴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：GB/T 18870-2002、GB 25501-2010《水嘴水效限定值及水效等级》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核心节水参数</w:t>
      </w:r>
      <w:r>
        <w:rPr>
          <w:rFonts w:ascii="Arial" w:hAnsi="Arial" w:eastAsia="等线" w:cs="Arial"/>
          <w:sz w:val="22"/>
        </w:rPr>
        <w:t>：限流流量0.10L/s，感应式出水，离手即停，超时10s自动断流，杜绝长流水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产品特性</w:t>
      </w:r>
      <w:r>
        <w:rPr>
          <w:rFonts w:ascii="Arial" w:hAnsi="Arial" w:eastAsia="等线" w:cs="Arial"/>
          <w:sz w:val="22"/>
        </w:rPr>
        <w:t>：全铜阀体，起泡器设计，出水柔和不飞溅，低功耗感应模块，适配0.05-0.2MPa水压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认证资质</w:t>
      </w:r>
      <w:r>
        <w:rPr>
          <w:rFonts w:ascii="Arial" w:hAnsi="Arial" w:eastAsia="等线" w:cs="Arial"/>
          <w:sz w:val="22"/>
        </w:rPr>
        <w:t>：国家一级水效认证、节水产品认证，检测报告编号：JC-JS-2025-136</w:t>
      </w:r>
    </w:p>
    <w:p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5.2.3 雨水回收节水设备产品说明书</w:t>
      </w:r>
      <w:bookmarkEnd w:id="14"/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产品型号</w:t>
      </w:r>
      <w:r>
        <w:rPr>
          <w:rFonts w:ascii="Arial" w:hAnsi="Arial" w:eastAsia="等线" w:cs="Arial"/>
          <w:sz w:val="22"/>
        </w:rPr>
        <w:t>：亿禾 YH-YS5 雨水处理回用设备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：GB/T 18870-2002、GB 50400-2016《建筑与小区雨水控制及利用工程技术规范》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核心节水参数</w:t>
      </w:r>
      <w:r>
        <w:rPr>
          <w:rFonts w:ascii="Arial" w:hAnsi="Arial" w:eastAsia="等线" w:cs="Arial"/>
          <w:sz w:val="22"/>
        </w:rPr>
        <w:t>：处理能力5m³/h，雨水过滤净化率95%，景观回用率90%，年节约市政自来水约800m³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产品特性</w:t>
      </w:r>
      <w:r>
        <w:rPr>
          <w:rFonts w:ascii="Arial" w:hAnsi="Arial" w:eastAsia="等线" w:cs="Arial"/>
          <w:sz w:val="22"/>
        </w:rPr>
        <w:t>：全自动运行，过滤+消毒双重处理，占地面积小，运维成本低，适配豫南地区雨水气候</w:t>
      </w:r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认证资质</w:t>
      </w:r>
      <w:r>
        <w:rPr>
          <w:rFonts w:ascii="Arial" w:hAnsi="Arial" w:eastAsia="等线" w:cs="Arial"/>
          <w:sz w:val="22"/>
        </w:rPr>
        <w:t>：节水设备认证、环保产品认证，检测报告编号：HB-JS-2025-092</w:t>
      </w:r>
    </w:p>
    <w:p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6 节水合规性判定与结论</w:t>
      </w:r>
      <w:bookmarkEnd w:id="15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绿建条款符合性判定</w:t>
            </w:r>
            <w:r>
              <w:rPr>
                <w:rFonts w:ascii="Arial" w:hAnsi="Arial" w:eastAsia="等线" w:cs="Arial"/>
                <w:sz w:val="22"/>
              </w:rPr>
              <w:t>：</w:t>
            </w:r>
          </w:p>
          <w:p>
            <w:pPr>
              <w:numPr>
                <w:ilvl w:val="0"/>
                <w:numId w:val="3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本项目已按使用用途、管理单元</w:t>
            </w:r>
            <w:r>
              <w:rPr>
                <w:rFonts w:ascii="Arial" w:hAnsi="Arial" w:eastAsia="等线" w:cs="Arial"/>
                <w:b/>
                <w:sz w:val="22"/>
              </w:rPr>
              <w:t>全覆盖设置用水计量装置</w:t>
            </w:r>
            <w:r>
              <w:rPr>
                <w:rFonts w:ascii="Arial" w:hAnsi="Arial" w:eastAsia="等线" w:cs="Arial"/>
                <w:sz w:val="22"/>
              </w:rPr>
              <w:t>，计量精准、分类清晰，符合第一条规定；</w:t>
            </w:r>
          </w:p>
          <w:p>
            <w:pPr>
              <w:numPr>
                <w:ilvl w:val="0"/>
                <w:numId w:val="3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水压大于0.2MPa的配水支管均已</w:t>
            </w:r>
            <w:r>
              <w:rPr>
                <w:rFonts w:ascii="Arial" w:hAnsi="Arial" w:eastAsia="等线" w:cs="Arial"/>
                <w:b/>
                <w:sz w:val="22"/>
              </w:rPr>
              <w:t>安装减压设施</w:t>
            </w:r>
            <w:r>
              <w:rPr>
                <w:rFonts w:ascii="Arial" w:hAnsi="Arial" w:eastAsia="等线" w:cs="Arial"/>
                <w:sz w:val="22"/>
              </w:rPr>
              <w:t>，减压后水压满足器具最低工作压力要求，符合第二条规定；</w:t>
            </w:r>
          </w:p>
          <w:p>
            <w:pPr>
              <w:numPr>
                <w:ilvl w:val="0"/>
                <w:numId w:val="3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所有用水器具、设备均通过国标节水认证，严格执行《节水型产品通用技术条件》GB/T 18870标准，符合第三条规定。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总体结论</w:t>
            </w:r>
            <w:r>
              <w:rPr>
                <w:rFonts w:ascii="Arial" w:hAnsi="Arial" w:eastAsia="等线" w:cs="Arial"/>
                <w:sz w:val="22"/>
              </w:rPr>
              <w:t>：本项目水资源利用方案完整、措施到位，节水器具选型合规，完全满足绿色建筑评价系统水资源利用相关要求，节水效果显著，具备绿建评审通过条件。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6" w:name="_GoBack"/>
      <w:bookmarkEnd w:id="1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7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2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30"/>
  </w:num>
  <w:num w:numId="9">
    <w:abstractNumId w:val="15"/>
  </w:num>
  <w:num w:numId="10">
    <w:abstractNumId w:val="2"/>
  </w:num>
  <w:num w:numId="11">
    <w:abstractNumId w:val="20"/>
  </w:num>
  <w:num w:numId="12">
    <w:abstractNumId w:val="27"/>
  </w:num>
  <w:num w:numId="13">
    <w:abstractNumId w:val="9"/>
  </w:num>
  <w:num w:numId="14">
    <w:abstractNumId w:val="24"/>
  </w:num>
  <w:num w:numId="15">
    <w:abstractNumId w:val="13"/>
  </w:num>
  <w:num w:numId="16">
    <w:abstractNumId w:val="18"/>
  </w:num>
  <w:num w:numId="17">
    <w:abstractNumId w:val="12"/>
  </w:num>
  <w:num w:numId="18">
    <w:abstractNumId w:val="11"/>
  </w:num>
  <w:num w:numId="19">
    <w:abstractNumId w:val="4"/>
  </w:num>
  <w:num w:numId="20">
    <w:abstractNumId w:val="23"/>
  </w:num>
  <w:num w:numId="21">
    <w:abstractNumId w:val="28"/>
  </w:num>
  <w:num w:numId="22">
    <w:abstractNumId w:val="17"/>
  </w:num>
  <w:num w:numId="23">
    <w:abstractNumId w:val="22"/>
  </w:num>
  <w:num w:numId="24">
    <w:abstractNumId w:val="5"/>
  </w:num>
  <w:num w:numId="25">
    <w:abstractNumId w:val="32"/>
  </w:num>
  <w:num w:numId="26">
    <w:abstractNumId w:val="31"/>
  </w:num>
  <w:num w:numId="27">
    <w:abstractNumId w:val="7"/>
  </w:num>
  <w:num w:numId="28">
    <w:abstractNumId w:val="29"/>
  </w:num>
  <w:num w:numId="29">
    <w:abstractNumId w:val="3"/>
  </w:num>
  <w:num w:numId="30">
    <w:abstractNumId w:val="21"/>
  </w:num>
  <w:num w:numId="31">
    <w:abstractNumId w:val="1"/>
  </w:num>
  <w:num w:numId="32">
    <w:abstractNumId w:val="25"/>
  </w:num>
  <w:num w:numId="33">
    <w:abstractNumId w:val="3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3BB7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2026-03-24T09:21:00Z</dcterms:created>
  <dc:creator>Apache POI</dc:creator>
  <cp:lastModifiedBy>hp</cp:lastModifiedBy>
  <dcterms:modified xsi:type="dcterms:W3CDTF">2026-03-24T09:22:20Z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