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装饰性构件造价比例计算书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：河南绿建工程设计有限公司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计算书编号</w:t>
      </w:r>
      <w:r>
        <w:rPr>
          <w:rFonts w:ascii="Arial" w:hAnsi="Arial" w:eastAsia="等线" w:cs="Arial"/>
          <w:sz w:val="22"/>
        </w:rPr>
        <w:t>：LS-ZJ-2026-072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适用阶段</w:t>
      </w:r>
      <w:r>
        <w:rPr>
          <w:rFonts w:ascii="Arial" w:hAnsi="Arial" w:eastAsia="等线" w:cs="Arial"/>
          <w:sz w:val="22"/>
        </w:rPr>
        <w:t>：绿色建筑评价申报阶段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编制人</w:t>
      </w:r>
      <w:r>
        <w:rPr>
          <w:rFonts w:ascii="Arial" w:hAnsi="Arial" w:eastAsia="等线" w:cs="Arial"/>
          <w:sz w:val="22"/>
        </w:rPr>
        <w:t>：李工（造价工程师）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审核人</w:t>
      </w:r>
      <w:r>
        <w:rPr>
          <w:rFonts w:ascii="Arial" w:hAnsi="Arial" w:eastAsia="等线" w:cs="Arial"/>
          <w:sz w:val="22"/>
        </w:rPr>
        <w:t>：王工（高级造价工程师）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编制说明与依据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项目基础信息与造价概况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装饰性构件界定与范围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装饰性构件造价明细核算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造价占比计算过程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绿建符合性判定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签字盖章页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编制说明与依据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1.1 编制说明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满足绿色建筑评价系统“建筑造型要素简约，无大量装饰性构件”管控要求，针对本公共建筑（博物馆）开展装饰性构件造价专项核算，精准计算装饰性构件造价占建筑总造价的比例，核查是否符合公共建筑≤1%的强制性规定，出具本计算书作为绿建评价申报支撑文件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1.2 编制依据</w:t>
      </w:r>
      <w:bookmarkEnd w:id="3"/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《建设工程工程量清单计价规范》GB 50500-2013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《建筑工程造价鉴定规范》GB/T 51262-2017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本项目建筑施工图、装饰装修施工图、工程量清单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河南省建设工程工程造价信息（2026年第一季度）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本项目建筑工程总造价测算文件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本计算书造价数据均结合项目实际设计内容、当地造价行情测算，数据真实合理，计算过程规范，符合绿建评审及工程造价管控要求。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2 项目基础信息与造价概况</w:t>
      </w:r>
      <w:bookmarkEnd w:id="4"/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项目基础信息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建筑性质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公共建筑（文化博览类博物馆）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绿建管控要求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装饰性构件造价占比≤1%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建筑工程总造价核算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本项目建筑工程总造价包含建筑土建、装饰装修、给排水、电气、暖通、消防等全部工程费用，不含土地费用、前期费用、配套费用，经精准测算：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建筑工程总造价：¥ 89,680,000.00 元（大写：人民币捌仟玖佰陆拾捌万元整）</w:t>
      </w:r>
    </w:p>
    <w:p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3 装饰性构件界定与范围</w:t>
      </w:r>
      <w:bookmarkEnd w:id="7"/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3.1 装饰性构件界定标准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参照绿建评价标准，装饰性构件指无实际使用功能、仅为满足造型需求的建筑构件，不包含结构构件、功能性构件、节能构件、设备构件及满足建筑防护、防水、采光等实用功能的构件。</w:t>
      </w: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3.2 本项目装饰性构件范围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本项目秉持简约生态设计理念，仅设置少量必要的造型装饰构件，无大面积冗余装饰，具体纳入核算的装饰性构件包括：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外立面局部造型装饰线条（非功能性线条）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入口处装饰性景墙（非结构、非防护类）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室内展厅极简装饰造型板（无实用功能）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屋面装饰性压顶（非防水、非节能构件）</w:t>
      </w: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4 装饰性构件造价明细核算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依据项目工程量清单、施工图纸及当地造价信息，逐项核算装饰性构件工程量与造价，明细如下：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构件名称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综合单价（元）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外立面装饰线条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铝合金烤漆线条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680m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125,800.00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纯造型装饰，无实用功能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入口装饰景墙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石材饰面造型墙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126㎡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78,120.00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非结构、非防护构件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室内装饰造型板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GRP极简造型板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215㎡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60,200.00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展厅装饰，无实用功能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屋面装饰压顶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混凝土装饰压顶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320m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35,200.00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非防水、非节能构件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其他零星装饰构件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小型造型配件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10,680.00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纯装饰类零星构件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310,000.00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装饰性构件总造价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装饰性构件总造价：¥ 310,000.00 元（大写：人民币叁拾壹万元整）</w:t>
      </w:r>
    </w:p>
    <w:p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5 造价占比计算过程</w:t>
      </w:r>
      <w:bookmarkEnd w:id="11"/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5.1 计算公式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装饰性构件造价占比 =（装饰性构件总造价 ÷ 建筑工程总造价）× 100%</w:t>
      </w:r>
    </w:p>
    <w:p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5.2 代入数据计算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装饰性构件造价占比 =（310,000.00 ÷ 89,680,000.00）× 100% ≈ </w:t>
      </w:r>
      <w:r>
        <w:rPr>
          <w:rFonts w:ascii="Arial" w:hAnsi="Arial" w:eastAsia="等线" w:cs="Arial"/>
          <w:b/>
          <w:sz w:val="22"/>
        </w:rPr>
        <w:t>0.346%</w:t>
      </w:r>
    </w:p>
    <w:p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5.3 计算结果</w:t>
      </w:r>
      <w:bookmarkEnd w:id="14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本项目装饰性构件造价占建筑总造价的比例为：</w:t>
            </w:r>
            <w:r>
              <w:rPr>
                <w:rFonts w:ascii="Arial" w:hAnsi="Arial" w:eastAsia="等线" w:cs="Arial"/>
                <w:b/>
                <w:sz w:val="22"/>
              </w:rPr>
              <w:t>0.346%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5" w:name="heading_15"/>
      <w:r>
        <w:rPr>
          <w:rFonts w:ascii="Arial" w:hAnsi="Arial" w:eastAsia="等线" w:cs="Arial"/>
          <w:b/>
          <w:sz w:val="36"/>
        </w:rPr>
        <w:t>6 绿建符合性判定</w:t>
      </w:r>
      <w:bookmarkEnd w:id="15"/>
    </w:p>
    <w:p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6.1 管控要求对比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绿色建筑评价标准规定：</w:t>
      </w:r>
      <w:r>
        <w:rPr>
          <w:rFonts w:ascii="Arial" w:hAnsi="Arial" w:eastAsia="等线" w:cs="Arial"/>
          <w:b/>
          <w:sz w:val="22"/>
        </w:rPr>
        <w:t>公共建筑装饰性构件造价占比不应大于1%</w:t>
      </w:r>
    </w:p>
    <w:p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6.2 符合性结论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装饰性构件造价占比为0.346%，远低于绿建规定的1%限值，且建筑造型简约，无大量冗余装饰性构件，完全满足绿色建筑评价系统“建筑造型要素简约，无大量装饰性构件”的管控要求，符合绿建评价相关条款规定。</w:t>
      </w:r>
      <w:bookmarkStart w:id="18" w:name="_GoBack"/>
      <w:bookmarkEnd w:id="18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0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2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E740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2026-03-24T09:56:00Z</dcterms:created>
  <dc:creator>Apache POI</dc:creator>
  <cp:lastModifiedBy>hp</cp:lastModifiedBy>
  <dcterms:modified xsi:type="dcterms:W3CDTF">2026-03-24T09:56:55Z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