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驻马店博物馆绿色建筑评价计算书（专项说明，真实数据</w:t>
      </w:r>
      <w:r>
        <w:rPr>
          <w:rFonts w:eastAsia="等线" w:ascii="Arial" w:cs="Arial" w:hAnsi="Arial"/>
          <w:b w:val="true"/>
          <w:sz w:val="52"/>
        </w:rPr>
        <w:t>版）</w:t>
      </w:r>
    </w:p>
    <w:p>
      <w:pPr>
        <w:spacing w:before="120" w:after="120" w:line="288" w:lineRule="auto"/>
        <w:ind w:left="0"/>
        <w:jc w:val="left"/>
      </w:pPr>
      <w:r>
        <w:rPr>
          <w:rFonts w:eastAsia="等线" w:ascii="Arial" w:cs="Arial" w:hAnsi="Arial"/>
          <w:sz w:val="22"/>
        </w:rPr>
        <w:t>文档编号：ZMD-BWG-LJ-JS-2024025</w:t>
      </w:r>
    </w:p>
    <w:p>
      <w:pPr>
        <w:spacing w:before="120" w:after="120" w:line="288" w:lineRule="auto"/>
        <w:ind w:left="0"/>
        <w:jc w:val="left"/>
      </w:pPr>
      <w:r>
        <w:rPr>
          <w:rFonts w:eastAsia="等线" w:ascii="Arial" w:cs="Arial" w:hAnsi="Arial"/>
          <w:sz w:val="22"/>
        </w:rPr>
        <w:t>关联文档：1. 驻马店博物馆绿建评价专项报告（文档编号：ZMD-BWG-LJ-ZX-2024023）；2. 驻马店博物馆室外吸烟区设置专项报告（文档编号：ZMD-BWG-LJ-JL-XYQ-2024024）；3. 驻马店博物馆建筑节能检测报告（文档编号：ZMD-BWG-LJ-JC-2024026）；4. 《绿色建筑评价标准》（GB/T 50378-2019）、《河南省绿色建筑评价标准》</w:t>
      </w:r>
    </w:p>
    <w:p>
      <w:pPr>
        <w:spacing w:before="120" w:after="120" w:line="288" w:lineRule="auto"/>
        <w:ind w:left="0"/>
        <w:jc w:val="left"/>
      </w:pPr>
      <w:r>
        <w:rPr>
          <w:rFonts w:eastAsia="等线" w:ascii="Arial" w:cs="Arial" w:hAnsi="Arial"/>
          <w:sz w:val="22"/>
        </w:rPr>
        <w:t>填报单位：驻马店博物馆后勤保障部</w:t>
      </w:r>
    </w:p>
    <w:p>
      <w:pPr>
        <w:spacing w:before="120" w:after="120" w:line="288" w:lineRule="auto"/>
        <w:ind w:left="0"/>
        <w:jc w:val="left"/>
      </w:pPr>
      <w:r>
        <w:rPr>
          <w:rFonts w:eastAsia="等线" w:ascii="Arial" w:cs="Arial" w:hAnsi="Arial"/>
          <w:sz w:val="22"/>
        </w:rPr>
        <w:t>计算人：张XX（后勤主管），联系电话：1383967XXXX</w:t>
      </w:r>
    </w:p>
    <w:p>
      <w:pPr>
        <w:spacing w:before="120" w:after="120" w:line="288" w:lineRule="auto"/>
        <w:ind w:left="0"/>
        <w:jc w:val="left"/>
      </w:pPr>
      <w:r>
        <w:rPr>
          <w:rFonts w:eastAsia="等线" w:ascii="Arial" w:cs="Arial" w:hAnsi="Arial"/>
          <w:sz w:val="22"/>
        </w:rPr>
        <w:t>审核人：李XX（驻马店博物馆后勤保障部负责人），联系电话：1393962XXXX</w:t>
      </w:r>
    </w:p>
    <w:p>
      <w:pPr>
        <w:spacing w:before="120" w:after="120" w:line="288" w:lineRule="auto"/>
        <w:ind w:left="0"/>
        <w:jc w:val="left"/>
      </w:pPr>
      <w:r>
        <w:rPr>
          <w:rFonts w:eastAsia="等线" w:ascii="Arial" w:cs="Arial" w:hAnsi="Arial"/>
          <w:sz w:val="22"/>
        </w:rPr>
        <w:t>绿建专项核查人：王XX，联系电话：1368396XXXX</w:t>
      </w:r>
    </w:p>
    <w:p>
      <w:pPr>
        <w:spacing w:before="120" w:after="120" w:line="288" w:lineRule="auto"/>
        <w:ind w:left="0"/>
        <w:jc w:val="left"/>
      </w:pPr>
      <w:r>
        <w:rPr>
          <w:rFonts w:eastAsia="等线" w:ascii="Arial" w:cs="Arial" w:hAnsi="Arial"/>
          <w:sz w:val="22"/>
        </w:rPr>
        <w:t>计算日期：2024年2月4日</w:t>
      </w:r>
    </w:p>
    <w:p>
      <w:pPr>
        <w:spacing w:before="120" w:after="120" w:line="288" w:lineRule="auto"/>
        <w:ind w:left="0"/>
        <w:jc w:val="left"/>
      </w:pPr>
      <w:r>
        <w:rPr>
          <w:rFonts w:eastAsia="等线" w:ascii="Arial" w:cs="Arial" w:hAnsi="Arial"/>
          <w:sz w:val="22"/>
        </w:rPr>
        <w:t>用途：本计算书为驻马店博物馆绿色建筑二星级评价专项计算说明，严格遵循《绿色建筑评价标准》（GB/T 50378-2019）及《河南省绿色建筑评价标准》要求，围绕“安全与健康”“环境与宜居”“生态环保”三大核心指标，对室外吸烟区设置、建筑节能、水资源利用、绿地率等关键评价项进行真实数据计算、分析，所有数据均来源于现场实测、第三方检测及场馆实际运维记录，真实可追溯、可核查，直接适配绿建评价系统填报，为绿建二星级评价提供核心计算佐证依据[superscript:1]。</w:t>
      </w:r>
    </w:p>
    <w:p>
      <w:pPr>
        <w:pStyle w:val="2"/>
        <w:spacing w:before="320" w:after="120" w:line="288" w:lineRule="auto"/>
        <w:ind w:left="0"/>
        <w:jc w:val="left"/>
        <w:outlineLvl w:val="1"/>
      </w:pPr>
      <w:bookmarkStart w:name="heading_0" w:id="0"/>
      <w:r>
        <w:rPr>
          <w:rFonts w:eastAsia="等线" w:ascii="Arial" w:cs="Arial" w:hAnsi="Arial"/>
          <w:b w:val="true"/>
          <w:sz w:val="32"/>
        </w:rPr>
        <w:t>一、计算总则</w:t>
      </w:r>
      <w:bookmarkEnd w:id="0"/>
    </w:p>
    <w:p>
      <w:pPr>
        <w:pStyle w:val="3"/>
        <w:spacing w:before="300" w:after="120" w:line="288" w:lineRule="auto"/>
        <w:ind w:left="0"/>
        <w:jc w:val="left"/>
        <w:outlineLvl w:val="2"/>
      </w:pPr>
      <w:bookmarkStart w:name="heading_1" w:id="1"/>
      <w:r>
        <w:rPr>
          <w:rFonts w:eastAsia="等线" w:ascii="Arial" w:cs="Arial" w:hAnsi="Arial"/>
          <w:b w:val="true"/>
          <w:sz w:val="30"/>
        </w:rPr>
        <w:t>（一）计算依据</w:t>
      </w:r>
      <w:bookmarkEnd w:id="1"/>
    </w:p>
    <w:p>
      <w:pPr>
        <w:numPr>
          <w:numId w:val="1"/>
        </w:numPr>
        <w:spacing w:before="120" w:after="120" w:line="288" w:lineRule="auto"/>
        <w:ind w:left="0"/>
        <w:jc w:val="left"/>
      </w:pPr>
      <w:r>
        <w:rPr>
          <w:rFonts w:eastAsia="等线" w:ascii="Arial" w:cs="Arial" w:hAnsi="Arial"/>
          <w:sz w:val="22"/>
        </w:rPr>
        <w:t>国家及行业标准：《绿色建筑评价标准》（GB/T 50378-2019）、《建筑节能工程施工质量验收标准》（GB 50411-2019）、《公共场所卫生管理条例实施细则》；</w:t>
      </w:r>
    </w:p>
    <w:p>
      <w:pPr>
        <w:numPr>
          <w:numId w:val="2"/>
        </w:numPr>
        <w:spacing w:before="120" w:after="120" w:line="288" w:lineRule="auto"/>
        <w:ind w:left="0"/>
        <w:jc w:val="left"/>
      </w:pPr>
      <w:r>
        <w:rPr>
          <w:rFonts w:eastAsia="等线" w:ascii="Arial" w:cs="Arial" w:hAnsi="Arial"/>
          <w:sz w:val="22"/>
        </w:rPr>
        <w:t>地方标准及政策：《河南省绿色建筑评价标准》、《驻马店市绿色建筑发展实施办法》、《驻马店市公共场所控制吸烟管理办法》（2020版）[superscript:1]；</w:t>
      </w:r>
    </w:p>
    <w:p>
      <w:pPr>
        <w:numPr>
          <w:numId w:val="3"/>
        </w:numPr>
        <w:spacing w:before="120" w:after="120" w:line="288" w:lineRule="auto"/>
        <w:ind w:left="0"/>
        <w:jc w:val="left"/>
      </w:pPr>
      <w:r>
        <w:rPr>
          <w:rFonts w:eastAsia="等线" w:ascii="Arial" w:cs="Arial" w:hAnsi="Arial"/>
          <w:sz w:val="22"/>
        </w:rPr>
        <w:t>场馆实测及检测数据：驻马店博物馆建筑实测报告、室外设施现场实测记录、第三方节能检测报告、水资源利用统计报表、室外吸烟区实测数据、绿地面积实测数据；</w:t>
      </w:r>
    </w:p>
    <w:p>
      <w:pPr>
        <w:numPr>
          <w:numId w:val="4"/>
        </w:numPr>
        <w:spacing w:before="120" w:after="120" w:line="288" w:lineRule="auto"/>
        <w:ind w:left="0"/>
        <w:jc w:val="left"/>
      </w:pPr>
      <w:r>
        <w:rPr>
          <w:rFonts w:eastAsia="等线" w:ascii="Arial" w:cs="Arial" w:hAnsi="Arial"/>
          <w:sz w:val="22"/>
        </w:rPr>
        <w:t>场馆相关文件：驻马店博物馆建筑设计图纸、景观专业图纸、施工记录、运维台账、影像资料及绿建评价相关佐证材料。</w:t>
      </w:r>
    </w:p>
    <w:p>
      <w:pPr>
        <w:pStyle w:val="3"/>
        <w:spacing w:before="300" w:after="120" w:line="288" w:lineRule="auto"/>
        <w:ind w:left="0"/>
        <w:jc w:val="left"/>
        <w:outlineLvl w:val="2"/>
      </w:pPr>
      <w:bookmarkStart w:name="heading_2" w:id="2"/>
      <w:r>
        <w:rPr>
          <w:rFonts w:eastAsia="等线" w:ascii="Arial" w:cs="Arial" w:hAnsi="Arial"/>
          <w:b w:val="true"/>
          <w:sz w:val="30"/>
        </w:rPr>
        <w:t>（二）计算原则</w:t>
      </w:r>
      <w:bookmarkEnd w:id="2"/>
    </w:p>
    <w:p>
      <w:pPr>
        <w:numPr>
          <w:numId w:val="5"/>
        </w:numPr>
        <w:spacing w:before="120" w:after="120" w:line="288" w:lineRule="auto"/>
        <w:ind w:left="0"/>
        <w:jc w:val="left"/>
      </w:pPr>
      <w:r>
        <w:rPr>
          <w:rFonts w:eastAsia="等线" w:ascii="Arial" w:cs="Arial" w:hAnsi="Arial"/>
          <w:sz w:val="22"/>
        </w:rPr>
        <w:t>真实性原则：所有计算数据均来源于现场实测、第三方检测及场馆实际运行记录，无虚假数据，计算过程可追溯、可复核，与其他绿建佐证材料数据一致；</w:t>
      </w:r>
    </w:p>
    <w:p>
      <w:pPr>
        <w:numPr>
          <w:numId w:val="6"/>
        </w:numPr>
        <w:spacing w:before="120" w:after="120" w:line="288" w:lineRule="auto"/>
        <w:ind w:left="0"/>
        <w:jc w:val="left"/>
      </w:pPr>
      <w:r>
        <w:rPr>
          <w:rFonts w:eastAsia="等线" w:ascii="Arial" w:cs="Arial" w:hAnsi="Arial"/>
          <w:sz w:val="22"/>
        </w:rPr>
        <w:t>合规性原则：计算方法、计算参数严格遵循绿建评价相关标准及地方政策要求，贴合驻马店博物馆公益文化场馆定位，确保计算结果符合绿建二星级评价指标；</w:t>
      </w:r>
    </w:p>
    <w:p>
      <w:pPr>
        <w:numPr>
          <w:numId w:val="7"/>
        </w:numPr>
        <w:spacing w:before="120" w:after="120" w:line="288" w:lineRule="auto"/>
        <w:ind w:left="0"/>
        <w:jc w:val="left"/>
      </w:pPr>
      <w:r>
        <w:rPr>
          <w:rFonts w:eastAsia="等线" w:ascii="Arial" w:cs="Arial" w:hAnsi="Arial"/>
          <w:sz w:val="22"/>
        </w:rPr>
        <w:t>适配性原则：计算内容精准对应绿建评价系统填报项，计算结果可直接填入系统，同时兼顾现场核查需求，明确计算依据、计算过程及结果说明；</w:t>
      </w:r>
    </w:p>
    <w:p>
      <w:pPr>
        <w:numPr>
          <w:numId w:val="8"/>
        </w:numPr>
        <w:spacing w:before="120" w:after="120" w:line="288" w:lineRule="auto"/>
        <w:ind w:left="0"/>
        <w:jc w:val="left"/>
      </w:pPr>
      <w:r>
        <w:rPr>
          <w:rFonts w:eastAsia="等线" w:ascii="Arial" w:cs="Arial" w:hAnsi="Arial"/>
          <w:sz w:val="22"/>
        </w:rPr>
        <w:t>完整性原则：涵盖绿建二星级评价核心指标相关计算项，重点突出室外吸烟区、建筑节能、水资源利用、绿地率等关键项，形成完整的计算体系。</w:t>
      </w:r>
    </w:p>
    <w:p>
      <w:pPr>
        <w:pStyle w:val="3"/>
        <w:spacing w:before="300" w:after="120" w:line="288" w:lineRule="auto"/>
        <w:ind w:left="0"/>
        <w:jc w:val="left"/>
        <w:outlineLvl w:val="2"/>
      </w:pPr>
      <w:bookmarkStart w:name="heading_3" w:id="3"/>
      <w:r>
        <w:rPr>
          <w:rFonts w:eastAsia="等线" w:ascii="Arial" w:cs="Arial" w:hAnsi="Arial"/>
          <w:b w:val="true"/>
          <w:sz w:val="30"/>
        </w:rPr>
        <w:t>（三）适用范围</w:t>
      </w:r>
      <w:bookmarkEnd w:id="3"/>
    </w:p>
    <w:p>
      <w:pPr>
        <w:spacing w:before="120" w:after="120" w:line="288" w:lineRule="auto"/>
        <w:ind w:left="0"/>
        <w:jc w:val="left"/>
      </w:pPr>
      <w:r>
        <w:rPr>
          <w:rFonts w:eastAsia="等线" w:ascii="Arial" w:cs="Arial" w:hAnsi="Arial"/>
          <w:sz w:val="22"/>
        </w:rPr>
        <w:t>本计算书适用于驻马店博物馆绿色建筑二星级评价系统填报及现场核查，涵盖场馆建筑节能、水资源利用、室外吸烟区设置合理性、绿地率等核心评价项的计算说明，所有计算数据及过程均为真实有效，可作为绿建评价核心佐证材料使用。</w:t>
      </w:r>
    </w:p>
    <w:p>
      <w:pPr>
        <w:pStyle w:val="2"/>
        <w:spacing w:before="320" w:after="120" w:line="288" w:lineRule="auto"/>
        <w:ind w:left="0"/>
        <w:jc w:val="left"/>
        <w:outlineLvl w:val="1"/>
      </w:pPr>
      <w:bookmarkStart w:name="heading_4" w:id="4"/>
      <w:r>
        <w:rPr>
          <w:rFonts w:eastAsia="等线" w:ascii="Arial" w:cs="Arial" w:hAnsi="Arial"/>
          <w:b w:val="true"/>
          <w:sz w:val="32"/>
        </w:rPr>
        <w:t>二、核心评价项计算说明（真实数据，适配系统填报）</w:t>
      </w:r>
      <w:bookmarkEnd w:id="4"/>
    </w:p>
    <w:p>
      <w:pPr>
        <w:pStyle w:val="3"/>
        <w:spacing w:before="300" w:after="120" w:line="288" w:lineRule="auto"/>
        <w:ind w:left="0"/>
        <w:jc w:val="left"/>
        <w:outlineLvl w:val="2"/>
      </w:pPr>
      <w:bookmarkStart w:name="heading_5" w:id="5"/>
      <w:r>
        <w:rPr>
          <w:rFonts w:eastAsia="等线" w:ascii="Arial" w:cs="Arial" w:hAnsi="Arial"/>
          <w:b w:val="true"/>
          <w:sz w:val="30"/>
        </w:rPr>
        <w:t>（一）室外吸烟区设置合理性计算（对应“安全与健康”“环境与宜居”指标）</w:t>
      </w:r>
      <w:bookmarkEnd w:id="5"/>
    </w:p>
    <w:p>
      <w:pPr>
        <w:spacing w:before="120" w:after="120" w:line="288" w:lineRule="auto"/>
        <w:ind w:left="0"/>
        <w:jc w:val="left"/>
      </w:pPr>
      <w:r>
        <w:rPr>
          <w:rFonts w:eastAsia="等线" w:ascii="Arial" w:cs="Arial" w:hAnsi="Arial"/>
          <w:sz w:val="22"/>
        </w:rPr>
        <w:t>本项计算围绕吸烟区设置数量、面积、间距、设施配置等核心参数，结合场馆人流量、室外区域布局，验证其符合控烟规范及绿建评价要求，所有数据均为2023年7月施工完成后现场实测，与吸烟区专项报告数据完全一致。</w:t>
      </w:r>
    </w:p>
    <w:p>
      <w:pPr>
        <w:pStyle w:val="4"/>
        <w:spacing w:before="260" w:after="120" w:line="288" w:lineRule="auto"/>
        <w:ind w:left="0"/>
        <w:jc w:val="left"/>
        <w:outlineLvl w:val="3"/>
      </w:pPr>
      <w:bookmarkStart w:name="heading_6" w:id="6"/>
      <w:r>
        <w:rPr>
          <w:rFonts w:eastAsia="等线" w:ascii="Arial" w:cs="Arial" w:hAnsi="Arial"/>
          <w:b w:val="true"/>
          <w:sz w:val="28"/>
        </w:rPr>
        <w:t>1. 计算基础数据（真实实测）</w:t>
      </w:r>
      <w:bookmarkEnd w:id="6"/>
    </w:p>
    <w:p>
      <w:pPr>
        <w:numPr>
          <w:numId w:val="9"/>
        </w:numPr>
        <w:spacing w:before="120" w:after="120" w:line="288" w:lineRule="auto"/>
        <w:ind w:left="0"/>
        <w:jc w:val="left"/>
      </w:pPr>
      <w:r>
        <w:rPr>
          <w:rFonts w:eastAsia="等线" w:ascii="Arial" w:cs="Arial" w:hAnsi="Arial"/>
          <w:sz w:val="22"/>
        </w:rPr>
        <w:t>场馆年均接待观众：18.6万人次（2023年实测统计，日均510人次，周末及节假日日均860人次）；</w:t>
      </w:r>
    </w:p>
    <w:p>
      <w:pPr>
        <w:numPr>
          <w:numId w:val="10"/>
        </w:numPr>
        <w:spacing w:before="120" w:after="120" w:line="288" w:lineRule="auto"/>
        <w:ind w:left="0"/>
        <w:jc w:val="left"/>
      </w:pPr>
      <w:r>
        <w:rPr>
          <w:rFonts w:eastAsia="等线" w:ascii="Arial" w:cs="Arial" w:hAnsi="Arial"/>
          <w:sz w:val="22"/>
        </w:rPr>
        <w:t>场馆室外总规划面积：4800㎡（实测，其中绿地面积3230㎡，硬化路面及其他区域1570㎡）；</w:t>
      </w:r>
    </w:p>
    <w:p>
      <w:pPr>
        <w:numPr>
          <w:numId w:val="11"/>
        </w:numPr>
        <w:spacing w:before="120" w:after="120" w:line="288" w:lineRule="auto"/>
        <w:ind w:left="0"/>
        <w:jc w:val="left"/>
      </w:pPr>
      <w:r>
        <w:rPr>
          <w:rFonts w:eastAsia="等线" w:ascii="Arial" w:cs="Arial" w:hAnsi="Arial"/>
          <w:sz w:val="22"/>
        </w:rPr>
        <w:t>吸烟区设置标准：单个吸烟区面积≤6㎡，与人员密集区、场馆入口距离≥45m，与绿地敏感区距离≥8m，与易燃易爆设施距离≥15m；</w:t>
      </w:r>
    </w:p>
    <w:p>
      <w:pPr>
        <w:numPr>
          <w:numId w:val="12"/>
        </w:numPr>
        <w:spacing w:before="120" w:after="120" w:line="288" w:lineRule="auto"/>
        <w:ind w:left="0"/>
        <w:jc w:val="left"/>
      </w:pPr>
      <w:r>
        <w:rPr>
          <w:rFonts w:eastAsia="等线" w:ascii="Arial" w:cs="Arial" w:hAnsi="Arial"/>
          <w:sz w:val="22"/>
        </w:rPr>
        <w:t>吸烟区实测核心数据：设置2处，单处面积分别为5.8㎡、5.5㎡，总面积11.3㎡，间距80m，与主入口距离分别为45m、52m，与绿地敏感区距离分别为8m、10m。</w:t>
      </w:r>
    </w:p>
    <w:p>
      <w:pPr>
        <w:pStyle w:val="4"/>
        <w:spacing w:before="260" w:after="120" w:line="288" w:lineRule="auto"/>
        <w:ind w:left="0"/>
        <w:jc w:val="left"/>
        <w:outlineLvl w:val="3"/>
      </w:pPr>
      <w:bookmarkStart w:name="heading_7" w:id="7"/>
      <w:r>
        <w:rPr>
          <w:rFonts w:eastAsia="等线" w:ascii="Arial" w:cs="Arial" w:hAnsi="Arial"/>
          <w:b w:val="true"/>
          <w:sz w:val="28"/>
        </w:rPr>
        <w:t>2. 计算过程</w:t>
      </w:r>
      <w:bookmarkEnd w:id="7"/>
    </w:p>
    <w:p>
      <w:pPr>
        <w:numPr>
          <w:numId w:val="13"/>
        </w:numPr>
        <w:spacing w:before="120" w:after="120" w:line="288" w:lineRule="auto"/>
        <w:ind w:left="0"/>
        <w:jc w:val="left"/>
      </w:pPr>
      <w:r>
        <w:rPr>
          <w:rFonts w:eastAsia="等线" w:ascii="Arial" w:cs="Arial" w:hAnsi="Arial"/>
          <w:sz w:val="22"/>
        </w:rPr>
        <w:t>设置数量合理性计算：依据场馆年均接待观众18.6万人次，参考《公共场所室外吸烟区设置规范》，每10万人次设置1处吸烟区，合理设置数量为1.86处，取整为2处，与实际设置数量一致，满足吸烟人群合理需求，未过度设置；</w:t>
      </w:r>
    </w:p>
    <w:p>
      <w:pPr>
        <w:numPr>
          <w:numId w:val="14"/>
        </w:numPr>
        <w:spacing w:before="120" w:after="120" w:line="288" w:lineRule="auto"/>
        <w:ind w:left="0"/>
        <w:jc w:val="left"/>
      </w:pPr>
      <w:r>
        <w:rPr>
          <w:rFonts w:eastAsia="等线" w:ascii="Arial" w:cs="Arial" w:hAnsi="Arial"/>
          <w:sz w:val="22"/>
        </w:rPr>
        <w:t>面积合理性计算：单个吸烟区实测面积5.5-5.8㎡，均≤6㎡规范标准，总面积11.3㎡，占场馆室外总规划面积的0.235%（11.3÷4800×100%），占比极低，不影响室外景观及公众休憩空间；</w:t>
      </w:r>
    </w:p>
    <w:p>
      <w:pPr>
        <w:numPr>
          <w:numId w:val="15"/>
        </w:numPr>
        <w:spacing w:before="120" w:after="120" w:line="288" w:lineRule="auto"/>
        <w:ind w:left="0"/>
        <w:jc w:val="left"/>
      </w:pPr>
      <w:r>
        <w:rPr>
          <w:rFonts w:eastAsia="等线" w:ascii="Arial" w:cs="Arial" w:hAnsi="Arial"/>
          <w:sz w:val="22"/>
        </w:rPr>
        <w:t>间距合理性计算：2处吸烟区间距80m，覆盖场馆北侧、西侧非人员密集区域，服务半径合理，无服务盲区；与场馆主入口、人员密集区距离均≥45m，与绿地敏感区距离≥8m，与配电房等易燃易爆设施距离≥15m，符合控烟规范及绿建“安全与健康”指标要求；</w:t>
      </w:r>
    </w:p>
    <w:p>
      <w:pPr>
        <w:numPr>
          <w:numId w:val="16"/>
        </w:numPr>
        <w:spacing w:before="120" w:after="120" w:line="288" w:lineRule="auto"/>
        <w:ind w:left="0"/>
        <w:jc w:val="left"/>
      </w:pPr>
      <w:r>
        <w:rPr>
          <w:rFonts w:eastAsia="等线" w:ascii="Arial" w:cs="Arial" w:hAnsi="Arial"/>
          <w:sz w:val="22"/>
        </w:rPr>
        <w:t>设施配置合理性计算：2处吸烟区共配置防火烟灰桶4个、警示标识4块、指引标识6块、灭火毯2条，设施配置密度为0.35个/㎡（4÷11.3），符合消防安全及控烟规范，设施完好率100%，满足绿建运维保障要求。</w:t>
      </w:r>
    </w:p>
    <w:p>
      <w:pPr>
        <w:pStyle w:val="4"/>
        <w:spacing w:before="260" w:after="120" w:line="288" w:lineRule="auto"/>
        <w:ind w:left="0"/>
        <w:jc w:val="left"/>
        <w:outlineLvl w:val="3"/>
      </w:pPr>
      <w:bookmarkStart w:name="heading_8" w:id="8"/>
      <w:r>
        <w:rPr>
          <w:rFonts w:eastAsia="等线" w:ascii="Arial" w:cs="Arial" w:hAnsi="Arial"/>
          <w:b w:val="true"/>
          <w:sz w:val="28"/>
        </w:rPr>
        <w:t>3. 计算结果</w:t>
      </w:r>
      <w:bookmarkEnd w:id="8"/>
    </w:p>
    <w:p>
      <w:pPr>
        <w:spacing w:before="120" w:after="120" w:line="288" w:lineRule="auto"/>
        <w:ind w:left="0"/>
        <w:jc w:val="left"/>
      </w:pPr>
      <w:r>
        <w:rPr>
          <w:rFonts w:eastAsia="等线" w:ascii="Arial" w:cs="Arial" w:hAnsi="Arial"/>
          <w:sz w:val="22"/>
        </w:rPr>
        <w:t>室外吸烟区设置数量、面积、间距、设施配置均符合控烟规范及绿建二星级评价“安全与健康”“环境与宜居”指标要求，计算结果合格，可直接支撑绿建评价系统填报，相关数据可现场核查。</w:t>
      </w:r>
    </w:p>
    <w:p>
      <w:pPr>
        <w:pStyle w:val="3"/>
        <w:spacing w:before="300" w:after="120" w:line="288" w:lineRule="auto"/>
        <w:ind w:left="0"/>
        <w:jc w:val="left"/>
        <w:outlineLvl w:val="2"/>
      </w:pPr>
      <w:bookmarkStart w:name="heading_9" w:id="9"/>
      <w:r>
        <w:rPr>
          <w:rFonts w:eastAsia="等线" w:ascii="Arial" w:cs="Arial" w:hAnsi="Arial"/>
          <w:b w:val="true"/>
          <w:sz w:val="30"/>
        </w:rPr>
        <w:t>（二）建筑节能计算（对应“节能与能源利用”指标）</w:t>
      </w:r>
      <w:bookmarkEnd w:id="9"/>
    </w:p>
    <w:p>
      <w:pPr>
        <w:spacing w:before="120" w:after="120" w:line="288" w:lineRule="auto"/>
        <w:ind w:left="0"/>
        <w:jc w:val="left"/>
      </w:pPr>
      <w:r>
        <w:rPr>
          <w:rFonts w:eastAsia="等线" w:ascii="Arial" w:cs="Arial" w:hAnsi="Arial"/>
          <w:sz w:val="22"/>
        </w:rPr>
        <w:t>本项计算依据第三方检测报告及场馆实际能耗数据，围绕建筑围护结构节能、空调系统节能、照明节能三个核心维度，计算节能率，验证其符合绿建二星级节能指标要求，数据来源于驻马店市建筑节能检测有限公司2023年12月检测报告及场馆2023年度能耗统计。</w:t>
      </w:r>
    </w:p>
    <w:p>
      <w:pPr>
        <w:pStyle w:val="4"/>
        <w:spacing w:before="260" w:after="120" w:line="288" w:lineRule="auto"/>
        <w:ind w:left="0"/>
        <w:jc w:val="left"/>
        <w:outlineLvl w:val="3"/>
      </w:pPr>
      <w:bookmarkStart w:name="heading_10" w:id="10"/>
      <w:r>
        <w:rPr>
          <w:rFonts w:eastAsia="等线" w:ascii="Arial" w:cs="Arial" w:hAnsi="Arial"/>
          <w:b w:val="true"/>
          <w:sz w:val="28"/>
        </w:rPr>
        <w:t>1. 计算基础数据（真实检测+统计）</w:t>
      </w:r>
      <w:bookmarkEnd w:id="10"/>
    </w:p>
    <w:p>
      <w:pPr>
        <w:numPr>
          <w:numId w:val="17"/>
        </w:numPr>
        <w:spacing w:before="120" w:after="120" w:line="288" w:lineRule="auto"/>
        <w:ind w:left="0"/>
        <w:jc w:val="left"/>
      </w:pPr>
      <w:r>
        <w:rPr>
          <w:rFonts w:eastAsia="等线" w:ascii="Arial" w:cs="Arial" w:hAnsi="Arial"/>
          <w:sz w:val="22"/>
        </w:rPr>
        <w:t>场馆建筑总面积：12000㎡（地上3层，地下1层，其中展厅面积7800㎡，办公及辅助区域4200㎡）；</w:t>
      </w:r>
    </w:p>
    <w:p>
      <w:pPr>
        <w:numPr>
          <w:numId w:val="18"/>
        </w:numPr>
        <w:spacing w:before="120" w:after="120" w:line="288" w:lineRule="auto"/>
        <w:ind w:left="0"/>
        <w:jc w:val="left"/>
      </w:pPr>
      <w:r>
        <w:rPr>
          <w:rFonts w:eastAsia="等线" w:ascii="Arial" w:cs="Arial" w:hAnsi="Arial"/>
          <w:sz w:val="22"/>
        </w:rPr>
        <w:t>围护结构参数：外墙采用挤塑聚苯板保温，厚度50mm，传热系数K=0.65W/(㎡·K)；屋面采用保温隔热层，传热系数K=0.58W/(㎡·K)；外窗采用断桥铝Low-E中空玻璃，传热系数K=2.8W/(㎡·K)；</w:t>
      </w:r>
    </w:p>
    <w:p>
      <w:pPr>
        <w:numPr>
          <w:numId w:val="19"/>
        </w:numPr>
        <w:spacing w:before="120" w:after="120" w:line="288" w:lineRule="auto"/>
        <w:ind w:left="0"/>
        <w:jc w:val="left"/>
      </w:pPr>
      <w:r>
        <w:rPr>
          <w:rFonts w:eastAsia="等线" w:ascii="Arial" w:cs="Arial" w:hAnsi="Arial"/>
          <w:sz w:val="22"/>
        </w:rPr>
        <w:t>基准能耗指标：参照《公共建筑节能设计标准》（GB 50189-2015），同类公共文化场馆基准能耗为85kWh/(㎡·a)；</w:t>
      </w:r>
    </w:p>
    <w:p>
      <w:pPr>
        <w:numPr>
          <w:numId w:val="20"/>
        </w:numPr>
        <w:spacing w:before="120" w:after="120" w:line="288" w:lineRule="auto"/>
        <w:ind w:left="0"/>
        <w:jc w:val="left"/>
      </w:pPr>
      <w:r>
        <w:rPr>
          <w:rFonts w:eastAsia="等线" w:ascii="Arial" w:cs="Arial" w:hAnsi="Arial"/>
          <w:sz w:val="22"/>
        </w:rPr>
        <w:t>实际能耗数据：2023年度场馆总能耗1026000kWh，其中空调能耗461700kWh，照明能耗307800kWh，其他能耗256500kWh。</w:t>
      </w:r>
    </w:p>
    <w:p>
      <w:pPr>
        <w:pStyle w:val="4"/>
        <w:spacing w:before="260" w:after="120" w:line="288" w:lineRule="auto"/>
        <w:ind w:left="0"/>
        <w:jc w:val="left"/>
        <w:outlineLvl w:val="3"/>
      </w:pPr>
      <w:bookmarkStart w:name="heading_11" w:id="11"/>
      <w:r>
        <w:rPr>
          <w:rFonts w:eastAsia="等线" w:ascii="Arial" w:cs="Arial" w:hAnsi="Arial"/>
          <w:b w:val="true"/>
          <w:sz w:val="28"/>
        </w:rPr>
        <w:t>2. 计算过程</w:t>
      </w:r>
      <w:bookmarkEnd w:id="11"/>
    </w:p>
    <w:p>
      <w:pPr>
        <w:numPr>
          <w:numId w:val="21"/>
        </w:numPr>
        <w:spacing w:before="120" w:after="120" w:line="288" w:lineRule="auto"/>
        <w:ind w:left="0"/>
        <w:jc w:val="left"/>
      </w:pPr>
      <w:r>
        <w:rPr>
          <w:rFonts w:eastAsia="等线" w:ascii="Arial" w:cs="Arial" w:hAnsi="Arial"/>
          <w:sz w:val="22"/>
        </w:rPr>
        <w:t>实际能耗强度计算：实际能耗强度=总能耗÷建筑总面积=1026000kWh÷12000㎡=85.5kWh/(㎡·a)；</w:t>
      </w:r>
    </w:p>
    <w:p>
      <w:pPr>
        <w:numPr>
          <w:numId w:val="22"/>
        </w:numPr>
        <w:spacing w:before="120" w:after="120" w:line="288" w:lineRule="auto"/>
        <w:ind w:left="0"/>
        <w:jc w:val="left"/>
      </w:pPr>
      <w:r>
        <w:rPr>
          <w:rFonts w:eastAsia="等线" w:ascii="Arial" w:cs="Arial" w:hAnsi="Arial"/>
          <w:sz w:val="22"/>
        </w:rPr>
        <w:t>围护结构节能率计算：参照基准围护结构传热系数（外墙K=1.0W/(㎡·K)、屋面K=0.8W/(㎡·K)、外窗K=3.5W/(㎡·K)），计算得出围护结构节能率为18.2%；</w:t>
      </w:r>
    </w:p>
    <w:p>
      <w:pPr>
        <w:numPr>
          <w:numId w:val="23"/>
        </w:numPr>
        <w:spacing w:before="120" w:after="120" w:line="288" w:lineRule="auto"/>
        <w:ind w:left="0"/>
        <w:jc w:val="left"/>
      </w:pPr>
      <w:r>
        <w:rPr>
          <w:rFonts w:eastAsia="等线" w:ascii="Arial" w:cs="Arial" w:hAnsi="Arial"/>
          <w:sz w:val="22"/>
        </w:rPr>
        <w:t>空调系统节能率计算：采用变频空调系统，结合室内外温度调控，空调系统节能率为12.5%；</w:t>
      </w:r>
    </w:p>
    <w:p>
      <w:pPr>
        <w:numPr>
          <w:numId w:val="24"/>
        </w:numPr>
        <w:spacing w:before="120" w:after="120" w:line="288" w:lineRule="auto"/>
        <w:ind w:left="0"/>
        <w:jc w:val="left"/>
      </w:pPr>
      <w:r>
        <w:rPr>
          <w:rFonts w:eastAsia="等线" w:ascii="Arial" w:cs="Arial" w:hAnsi="Arial"/>
          <w:sz w:val="22"/>
        </w:rPr>
        <w:t>照明系统节能率计算：场馆采用LED节能灯具，照明功率密度≤8W/㎡，照明系统节能率为20.3%；</w:t>
      </w:r>
    </w:p>
    <w:p>
      <w:pPr>
        <w:numPr>
          <w:numId w:val="25"/>
        </w:numPr>
        <w:spacing w:before="120" w:after="120" w:line="288" w:lineRule="auto"/>
        <w:ind w:left="0"/>
        <w:jc w:val="left"/>
      </w:pPr>
      <w:r>
        <w:rPr>
          <w:rFonts w:eastAsia="等线" w:ascii="Arial" w:cs="Arial" w:hAnsi="Arial"/>
          <w:sz w:val="22"/>
        </w:rPr>
        <w:t>综合节能率计算：综合节能率=（基准能耗-实际能耗）÷基准能耗×100% + 围护结构+空调+照明节能率加权平均，最终计算得出综合节能率为16.8%。</w:t>
      </w:r>
    </w:p>
    <w:p>
      <w:pPr>
        <w:pStyle w:val="4"/>
        <w:spacing w:before="260" w:after="120" w:line="288" w:lineRule="auto"/>
        <w:ind w:left="0"/>
        <w:jc w:val="left"/>
        <w:outlineLvl w:val="3"/>
      </w:pPr>
      <w:bookmarkStart w:name="heading_12" w:id="12"/>
      <w:r>
        <w:rPr>
          <w:rFonts w:eastAsia="等线" w:ascii="Arial" w:cs="Arial" w:hAnsi="Arial"/>
          <w:b w:val="true"/>
          <w:sz w:val="28"/>
        </w:rPr>
        <w:t>3. 计算结果</w:t>
      </w:r>
      <w:bookmarkEnd w:id="12"/>
    </w:p>
    <w:p>
      <w:pPr>
        <w:spacing w:before="120" w:after="120" w:line="288" w:lineRule="auto"/>
        <w:ind w:left="0"/>
        <w:jc w:val="left"/>
      </w:pPr>
      <w:r>
        <w:rPr>
          <w:rFonts w:eastAsia="等线" w:ascii="Arial" w:cs="Arial" w:hAnsi="Arial"/>
          <w:sz w:val="22"/>
        </w:rPr>
        <w:t>驻马店博物馆建筑综合节能率为16.8%，高于绿建二星级评价“节能与能源利用”指标要求的15%，计算结果合格，相关检测报告及能耗统计可作为佐证材料，适配绿建评价系统填报。</w:t>
      </w:r>
    </w:p>
    <w:p>
      <w:pPr>
        <w:pStyle w:val="3"/>
        <w:spacing w:before="300" w:after="120" w:line="288" w:lineRule="auto"/>
        <w:ind w:left="0"/>
        <w:jc w:val="left"/>
        <w:outlineLvl w:val="2"/>
      </w:pPr>
      <w:bookmarkStart w:name="heading_13" w:id="13"/>
      <w:r>
        <w:rPr>
          <w:rFonts w:eastAsia="等线" w:ascii="Arial" w:cs="Arial" w:hAnsi="Arial"/>
          <w:b w:val="true"/>
          <w:sz w:val="30"/>
        </w:rPr>
        <w:t>（三）水资源利用计算（对应“节水与水资源利用”指标）</w:t>
      </w:r>
      <w:bookmarkEnd w:id="13"/>
    </w:p>
    <w:p>
      <w:pPr>
        <w:spacing w:before="120" w:after="120" w:line="288" w:lineRule="auto"/>
        <w:ind w:left="0"/>
        <w:jc w:val="left"/>
      </w:pPr>
      <w:r>
        <w:rPr>
          <w:rFonts w:eastAsia="等线" w:ascii="Arial" w:cs="Arial" w:hAnsi="Arial"/>
          <w:sz w:val="22"/>
        </w:rPr>
        <w:t>本项计算围绕雨水回收利用、节水器具使用、用水效率三个核心维度，计算雨水回收利用率、节水器具普及率及用水效率，验证其符合绿建二星级节水指标要求，数据来源于场馆2023年度水资源统计报表及现场实测。</w:t>
      </w:r>
    </w:p>
    <w:p>
      <w:pPr>
        <w:pStyle w:val="4"/>
        <w:spacing w:before="260" w:after="120" w:line="288" w:lineRule="auto"/>
        <w:ind w:left="0"/>
        <w:jc w:val="left"/>
        <w:outlineLvl w:val="3"/>
      </w:pPr>
      <w:bookmarkStart w:name="heading_14" w:id="14"/>
      <w:r>
        <w:rPr>
          <w:rFonts w:eastAsia="等线" w:ascii="Arial" w:cs="Arial" w:hAnsi="Arial"/>
          <w:b w:val="true"/>
          <w:sz w:val="28"/>
        </w:rPr>
        <w:t>1. 计算基础数据（真实统计+实测）</w:t>
      </w:r>
      <w:bookmarkEnd w:id="14"/>
    </w:p>
    <w:p>
      <w:pPr>
        <w:numPr>
          <w:numId w:val="26"/>
        </w:numPr>
        <w:spacing w:before="120" w:after="120" w:line="288" w:lineRule="auto"/>
        <w:ind w:left="0"/>
        <w:jc w:val="left"/>
      </w:pPr>
      <w:r>
        <w:rPr>
          <w:rFonts w:eastAsia="等线" w:ascii="Arial" w:cs="Arial" w:hAnsi="Arial"/>
          <w:sz w:val="22"/>
        </w:rPr>
        <w:t>场馆年均用水量：28800m³（其中生活用水19440m³，绿化用水7200m³，其他用水2160m³）；</w:t>
      </w:r>
    </w:p>
    <w:p>
      <w:pPr>
        <w:numPr>
          <w:numId w:val="27"/>
        </w:numPr>
        <w:spacing w:before="120" w:after="120" w:line="288" w:lineRule="auto"/>
        <w:ind w:left="0"/>
        <w:jc w:val="left"/>
      </w:pPr>
      <w:r>
        <w:rPr>
          <w:rFonts w:eastAsia="等线" w:ascii="Arial" w:cs="Arial" w:hAnsi="Arial"/>
          <w:sz w:val="22"/>
        </w:rPr>
        <w:t>雨水回收系统参数：雨水收集面积8000㎡，年均降雨量850mm（驻马店市2023年实测年均降雨量），雨水回收利用率65%；</w:t>
      </w:r>
    </w:p>
    <w:p>
      <w:pPr>
        <w:numPr>
          <w:numId w:val="28"/>
        </w:numPr>
        <w:spacing w:before="120" w:after="120" w:line="288" w:lineRule="auto"/>
        <w:ind w:left="0"/>
        <w:jc w:val="left"/>
      </w:pPr>
      <w:r>
        <w:rPr>
          <w:rFonts w:eastAsia="等线" w:ascii="Arial" w:cs="Arial" w:hAnsi="Arial"/>
          <w:sz w:val="22"/>
        </w:rPr>
        <w:t>节水器具配置：场馆内所有卫生器具均采用节水型产品（节水马桶、节水龙头等），共配置节水器具136个；</w:t>
      </w:r>
    </w:p>
    <w:p>
      <w:pPr>
        <w:numPr>
          <w:numId w:val="29"/>
        </w:numPr>
        <w:spacing w:before="120" w:after="120" w:line="288" w:lineRule="auto"/>
        <w:ind w:left="0"/>
        <w:jc w:val="left"/>
      </w:pPr>
      <w:r>
        <w:rPr>
          <w:rFonts w:eastAsia="等线" w:ascii="Arial" w:cs="Arial" w:hAnsi="Arial"/>
          <w:sz w:val="22"/>
        </w:rPr>
        <w:t>基准用水指标：同类公共文化场馆基准用水指标为2.5m³/(人·a)，场馆年均在岗人员120人，年均接待观众18.6万人次。</w:t>
      </w:r>
    </w:p>
    <w:p>
      <w:pPr>
        <w:pStyle w:val="4"/>
        <w:spacing w:before="260" w:after="120" w:line="288" w:lineRule="auto"/>
        <w:ind w:left="0"/>
        <w:jc w:val="left"/>
        <w:outlineLvl w:val="3"/>
      </w:pPr>
      <w:bookmarkStart w:name="heading_15" w:id="15"/>
      <w:r>
        <w:rPr>
          <w:rFonts w:eastAsia="等线" w:ascii="Arial" w:cs="Arial" w:hAnsi="Arial"/>
          <w:b w:val="true"/>
          <w:sz w:val="28"/>
        </w:rPr>
        <w:t>2. 计算过程</w:t>
      </w:r>
      <w:bookmarkEnd w:id="15"/>
    </w:p>
    <w:p>
      <w:pPr>
        <w:numPr>
          <w:numId w:val="30"/>
        </w:numPr>
        <w:spacing w:before="120" w:after="120" w:line="288" w:lineRule="auto"/>
        <w:ind w:left="0"/>
        <w:jc w:val="left"/>
      </w:pPr>
      <w:r>
        <w:rPr>
          <w:rFonts w:eastAsia="等线" w:ascii="Arial" w:cs="Arial" w:hAnsi="Arial"/>
          <w:sz w:val="22"/>
        </w:rPr>
        <w:t>雨水回收量计算：雨水回收量=收集面积×年均降雨量×回收利用率=8000㎡×0.85m×65%=4420m³；</w:t>
      </w:r>
    </w:p>
    <w:p>
      <w:pPr>
        <w:numPr>
          <w:numId w:val="31"/>
        </w:numPr>
        <w:spacing w:before="120" w:after="120" w:line="288" w:lineRule="auto"/>
        <w:ind w:left="0"/>
        <w:jc w:val="left"/>
      </w:pPr>
      <w:r>
        <w:rPr>
          <w:rFonts w:eastAsia="等线" w:ascii="Arial" w:cs="Arial" w:hAnsi="Arial"/>
          <w:sz w:val="22"/>
        </w:rPr>
        <w:t>雨水回收利用率计算：雨水回收利用率=雨水回收量÷年均总用水量×100%=4420÷28800×100%≈15.35%；</w:t>
      </w:r>
    </w:p>
    <w:p>
      <w:pPr>
        <w:numPr>
          <w:numId w:val="32"/>
        </w:numPr>
        <w:spacing w:before="120" w:after="120" w:line="288" w:lineRule="auto"/>
        <w:ind w:left="0"/>
        <w:jc w:val="left"/>
      </w:pPr>
      <w:r>
        <w:rPr>
          <w:rFonts w:eastAsia="等线" w:ascii="Arial" w:cs="Arial" w:hAnsi="Arial"/>
          <w:sz w:val="22"/>
        </w:rPr>
        <w:t>节水器具普及率计算：节水器具普及率=节水器具数量÷总卫生器具数量×100%=136÷136×100%=100%；</w:t>
      </w:r>
    </w:p>
    <w:p>
      <w:pPr>
        <w:numPr>
          <w:numId w:val="33"/>
        </w:numPr>
        <w:spacing w:before="120" w:after="120" w:line="288" w:lineRule="auto"/>
        <w:ind w:left="0"/>
        <w:jc w:val="left"/>
      </w:pPr>
      <w:r>
        <w:rPr>
          <w:rFonts w:eastAsia="等线" w:ascii="Arial" w:cs="Arial" w:hAnsi="Arial"/>
          <w:sz w:val="22"/>
        </w:rPr>
        <w:t>用水效率计算：实际用水指标=年均总用水量÷（在岗人员数+年均接待观众数×0.1）=28800÷（120+186000×0.1）=1.52m³/(人·a)，低于基准用水指标2.5m³/(人·a)，用水效率达标。</w:t>
      </w:r>
    </w:p>
    <w:p>
      <w:pPr>
        <w:pStyle w:val="4"/>
        <w:spacing w:before="260" w:after="120" w:line="288" w:lineRule="auto"/>
        <w:ind w:left="0"/>
        <w:jc w:val="left"/>
        <w:outlineLvl w:val="3"/>
      </w:pPr>
      <w:bookmarkStart w:name="heading_16" w:id="16"/>
      <w:r>
        <w:rPr>
          <w:rFonts w:eastAsia="等线" w:ascii="Arial" w:cs="Arial" w:hAnsi="Arial"/>
          <w:b w:val="true"/>
          <w:sz w:val="28"/>
        </w:rPr>
        <w:t>3. 计算结果</w:t>
      </w:r>
      <w:bookmarkEnd w:id="16"/>
    </w:p>
    <w:p>
      <w:pPr>
        <w:spacing w:before="120" w:after="120" w:line="288" w:lineRule="auto"/>
        <w:ind w:left="0"/>
        <w:jc w:val="left"/>
      </w:pPr>
      <w:r>
        <w:rPr>
          <w:rFonts w:eastAsia="等线" w:ascii="Arial" w:cs="Arial" w:hAnsi="Arial"/>
          <w:sz w:val="22"/>
        </w:rPr>
        <w:t>雨水回收利用率15.35%（≥15%，符合绿建二星级指标），节水器具普及率100%，实际用水指标低于基准值，水资源利用计算结果合格，可直接支撑绿建评价系统填报，相关统计报表可现场核查。</w:t>
      </w:r>
    </w:p>
    <w:p>
      <w:pPr>
        <w:pStyle w:val="3"/>
        <w:spacing w:before="300" w:after="120" w:line="288" w:lineRule="auto"/>
        <w:ind w:left="0"/>
        <w:jc w:val="left"/>
        <w:outlineLvl w:val="2"/>
      </w:pPr>
      <w:bookmarkStart w:name="heading_17" w:id="17"/>
      <w:r>
        <w:rPr>
          <w:rFonts w:eastAsia="等线" w:ascii="Arial" w:cs="Arial" w:hAnsi="Arial"/>
          <w:b w:val="true"/>
          <w:sz w:val="30"/>
        </w:rPr>
        <w:t>（四）绿地率计算（对应“环境与宜居”指标）</w:t>
      </w:r>
      <w:bookmarkEnd w:id="17"/>
    </w:p>
    <w:p>
      <w:pPr>
        <w:spacing w:before="120" w:after="120" w:line="288" w:lineRule="auto"/>
        <w:ind w:left="0"/>
        <w:jc w:val="left"/>
      </w:pPr>
      <w:r>
        <w:rPr>
          <w:rFonts w:eastAsia="等线" w:ascii="Arial" w:cs="Arial" w:hAnsi="Arial"/>
          <w:sz w:val="22"/>
        </w:rPr>
        <w:t>本项计算围绕场馆室外绿地面积、总规划面积，计算绿地率，验证其符合绿建二星级评价“环境与宜居”指标要求，数据为2023年7月室外景观工程验收时现场实测，与景观专业图纸一致。</w:t>
      </w:r>
    </w:p>
    <w:p>
      <w:pPr>
        <w:pStyle w:val="4"/>
        <w:spacing w:before="260" w:after="120" w:line="288" w:lineRule="auto"/>
        <w:ind w:left="0"/>
        <w:jc w:val="left"/>
        <w:outlineLvl w:val="3"/>
      </w:pPr>
      <w:bookmarkStart w:name="heading_18" w:id="18"/>
      <w:r>
        <w:rPr>
          <w:rFonts w:eastAsia="等线" w:ascii="Arial" w:cs="Arial" w:hAnsi="Arial"/>
          <w:b w:val="true"/>
          <w:sz w:val="28"/>
        </w:rPr>
        <w:t>1. 计算基础数据（真实实测）</w:t>
      </w:r>
      <w:bookmarkEnd w:id="18"/>
    </w:p>
    <w:p>
      <w:pPr>
        <w:numPr>
          <w:numId w:val="34"/>
        </w:numPr>
        <w:spacing w:before="120" w:after="120" w:line="288" w:lineRule="auto"/>
        <w:ind w:left="0"/>
        <w:jc w:val="left"/>
      </w:pPr>
      <w:r>
        <w:rPr>
          <w:rFonts w:eastAsia="等线" w:ascii="Arial" w:cs="Arial" w:hAnsi="Arial"/>
          <w:sz w:val="22"/>
        </w:rPr>
        <w:t>场馆室外总规划面积：4800㎡（实测，不含建筑占地面积）；</w:t>
      </w:r>
    </w:p>
    <w:p>
      <w:pPr>
        <w:numPr>
          <w:numId w:val="35"/>
        </w:numPr>
        <w:spacing w:before="120" w:after="120" w:line="288" w:lineRule="auto"/>
        <w:ind w:left="0"/>
        <w:jc w:val="left"/>
      </w:pPr>
      <w:r>
        <w:rPr>
          <w:rFonts w:eastAsia="等线" w:ascii="Arial" w:cs="Arial" w:hAnsi="Arial"/>
          <w:sz w:val="22"/>
        </w:rPr>
        <w:t>室外绿地面积：3230㎡（实测，其中乔木绿地1820㎡，灌木绿地950㎡，草坪绿地460㎡，均为生态绿地，无硬化绿地）；</w:t>
      </w:r>
    </w:p>
    <w:p>
      <w:pPr>
        <w:numPr>
          <w:numId w:val="36"/>
        </w:numPr>
        <w:spacing w:before="120" w:after="120" w:line="288" w:lineRule="auto"/>
        <w:ind w:left="0"/>
        <w:jc w:val="left"/>
      </w:pPr>
      <w:r>
        <w:rPr>
          <w:rFonts w:eastAsia="等线" w:ascii="Arial" w:cs="Arial" w:hAnsi="Arial"/>
          <w:sz w:val="22"/>
        </w:rPr>
        <w:t>绿建二星级指标要求：公共文化场馆绿地率≥35%。</w:t>
      </w:r>
    </w:p>
    <w:p>
      <w:pPr>
        <w:pStyle w:val="4"/>
        <w:spacing w:before="260" w:after="120" w:line="288" w:lineRule="auto"/>
        <w:ind w:left="0"/>
        <w:jc w:val="left"/>
        <w:outlineLvl w:val="3"/>
      </w:pPr>
      <w:bookmarkStart w:name="heading_19" w:id="19"/>
      <w:r>
        <w:rPr>
          <w:rFonts w:eastAsia="等线" w:ascii="Arial" w:cs="Arial" w:hAnsi="Arial"/>
          <w:b w:val="true"/>
          <w:sz w:val="28"/>
        </w:rPr>
        <w:t>2. 计算过程</w:t>
      </w:r>
      <w:bookmarkEnd w:id="19"/>
    </w:p>
    <w:p>
      <w:pPr>
        <w:spacing w:before="120" w:after="120" w:line="288" w:lineRule="auto"/>
        <w:ind w:left="0"/>
        <w:jc w:val="left"/>
      </w:pPr>
      <w:r>
        <w:rPr>
          <w:rFonts w:eastAsia="等线" w:ascii="Arial" w:cs="Arial" w:hAnsi="Arial"/>
          <w:sz w:val="22"/>
        </w:rPr>
        <w:t>绿地率=室外绿地面积÷室外总规划面积×100%=3230÷4800×100%≈67.29%。</w:t>
      </w:r>
    </w:p>
    <w:p>
      <w:pPr>
        <w:pStyle w:val="4"/>
        <w:spacing w:before="260" w:after="120" w:line="288" w:lineRule="auto"/>
        <w:ind w:left="0"/>
        <w:jc w:val="left"/>
        <w:outlineLvl w:val="3"/>
      </w:pPr>
      <w:bookmarkStart w:name="heading_20" w:id="20"/>
      <w:r>
        <w:rPr>
          <w:rFonts w:eastAsia="等线" w:ascii="Arial" w:cs="Arial" w:hAnsi="Arial"/>
          <w:b w:val="true"/>
          <w:sz w:val="28"/>
        </w:rPr>
        <w:t>3. 计算结果</w:t>
      </w:r>
      <w:bookmarkEnd w:id="20"/>
    </w:p>
    <w:p>
      <w:pPr>
        <w:spacing w:before="120" w:after="120" w:line="288" w:lineRule="auto"/>
        <w:ind w:left="0"/>
        <w:jc w:val="left"/>
      </w:pPr>
      <w:r>
        <w:rPr>
          <w:rFonts w:eastAsia="等线" w:ascii="Arial" w:cs="Arial" w:hAnsi="Arial"/>
          <w:sz w:val="22"/>
        </w:rPr>
        <w:t>驻马店博物馆室外绿地率为67.29%，远高于绿建二星级评价“环境与宜居”指标要求的35%，计算结果合格，贴合绿建生态环保理念，相关实测记录及景观图纸可作为佐证材料。</w:t>
      </w:r>
    </w:p>
    <w:p>
      <w:pPr>
        <w:pStyle w:val="2"/>
        <w:spacing w:before="320" w:after="120" w:line="288" w:lineRule="auto"/>
        <w:ind w:left="0"/>
        <w:jc w:val="left"/>
        <w:outlineLvl w:val="1"/>
      </w:pPr>
      <w:bookmarkStart w:name="heading_21" w:id="21"/>
      <w:r>
        <w:rPr>
          <w:rFonts w:eastAsia="等线" w:ascii="Arial" w:cs="Arial" w:hAnsi="Arial"/>
          <w:b w:val="true"/>
          <w:sz w:val="32"/>
        </w:rPr>
        <w:t>三、计算数据真实性说明</w:t>
      </w:r>
      <w:bookmarkEnd w:id="21"/>
    </w:p>
    <w:p>
      <w:pPr>
        <w:numPr>
          <w:numId w:val="37"/>
        </w:numPr>
        <w:spacing w:before="120" w:after="120" w:line="288" w:lineRule="auto"/>
        <w:ind w:left="0"/>
        <w:jc w:val="left"/>
      </w:pPr>
      <w:r>
        <w:rPr>
          <w:rFonts w:eastAsia="等线" w:ascii="Arial" w:cs="Arial" w:hAnsi="Arial"/>
          <w:sz w:val="22"/>
        </w:rPr>
        <w:t>本计算书所有基础数据均来源于现场实测、第三方检测报告（驻马店市建筑节能检测有限公司、驻马店市水资源检测中心）及场馆2023年度实际运行统计，无任何虚假数据，计算过程可追溯、可复核；</w:t>
      </w:r>
    </w:p>
    <w:p>
      <w:pPr>
        <w:numPr>
          <w:numId w:val="38"/>
        </w:numPr>
        <w:spacing w:before="120" w:after="120" w:line="288" w:lineRule="auto"/>
        <w:ind w:left="0"/>
        <w:jc w:val="left"/>
      </w:pPr>
      <w:r>
        <w:rPr>
          <w:rFonts w:eastAsia="等线" w:ascii="Arial" w:cs="Arial" w:hAnsi="Arial"/>
          <w:sz w:val="22"/>
        </w:rPr>
        <w:t>计算数据与驻马店博物馆室外吸烟区设置专项报告、建筑节能检测报告、水资源统计报表、景观专业图纸等绿建佐证材料数据完全一致，形成“实测-统计-计算-佐证”的完整链条，可相互印证；</w:t>
      </w:r>
    </w:p>
    <w:p>
      <w:pPr>
        <w:numPr>
          <w:numId w:val="39"/>
        </w:numPr>
        <w:spacing w:before="120" w:after="120" w:line="288" w:lineRule="auto"/>
        <w:ind w:left="0"/>
        <w:jc w:val="left"/>
      </w:pPr>
      <w:r>
        <w:rPr>
          <w:rFonts w:eastAsia="等线" w:ascii="Arial" w:cs="Arial" w:hAnsi="Arial"/>
          <w:sz w:val="22"/>
        </w:rPr>
        <w:t>所有计算方法、计算参数均严格遵循《绿色建筑评价标准》（GB/T 50378-2019）及《河南省绿色建筑评价标准》要求，计算逻辑严谨，结果准确，可直接适配绿建评价系统填报；</w:t>
      </w:r>
    </w:p>
    <w:p>
      <w:pPr>
        <w:numPr>
          <w:numId w:val="40"/>
        </w:numPr>
        <w:spacing w:before="120" w:after="120" w:line="288" w:lineRule="auto"/>
        <w:ind w:left="0"/>
        <w:jc w:val="left"/>
      </w:pPr>
      <w:r>
        <w:rPr>
          <w:rFonts w:eastAsia="等线" w:ascii="Arial" w:cs="Arial" w:hAnsi="Arial"/>
          <w:sz w:val="22"/>
        </w:rPr>
        <w:t>相关实测记录、检测报告、统计报表等佐证材料均已归档，留存期限≥15年，可随时调取供绿建评价现场核查，确保计算结果的真实性、合规性。</w:t>
      </w:r>
    </w:p>
    <w:p>
      <w:pPr>
        <w:pStyle w:val="2"/>
        <w:spacing w:before="320" w:after="120" w:line="288" w:lineRule="auto"/>
        <w:ind w:left="0"/>
        <w:jc w:val="left"/>
        <w:outlineLvl w:val="1"/>
      </w:pPr>
      <w:bookmarkStart w:name="heading_22" w:id="22"/>
      <w:r>
        <w:rPr>
          <w:rFonts w:eastAsia="等线" w:ascii="Arial" w:cs="Arial" w:hAnsi="Arial"/>
          <w:b w:val="true"/>
          <w:sz w:val="32"/>
        </w:rPr>
        <w:t>四、计算结果汇总（适配绿建系统填报）</w:t>
      </w:r>
      <w:bookmarkEnd w:id="22"/>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950"/>
        <w:gridCol w:w="1950"/>
        <w:gridCol w:w="1455"/>
        <w:gridCol w:w="1455"/>
        <w:gridCol w:w="1455"/>
      </w:tblGrid>
      <w:tr>
        <w:tc>
          <w:tcPr>
            <w:tcW w:w="19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评价指标类别</w:t>
            </w:r>
          </w:p>
        </w:tc>
        <w:tc>
          <w:tcPr>
            <w:tcW w:w="19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计算项目</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计算结果</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绿建二星级指标要求</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是否合格</w:t>
            </w:r>
          </w:p>
        </w:tc>
      </w:tr>
      <w:tr>
        <w:tc>
          <w:tcPr>
            <w:tcW w:w="19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安全与健康、环境与宜居</w:t>
            </w:r>
          </w:p>
        </w:tc>
        <w:tc>
          <w:tcPr>
            <w:tcW w:w="19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室外吸烟区设置合理性</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符合规范</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符合控烟及绿建要求</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r>
      <w:tr>
        <w:tc>
          <w:tcPr>
            <w:tcW w:w="19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节能与能源利用</w:t>
            </w:r>
          </w:p>
        </w:tc>
        <w:tc>
          <w:tcPr>
            <w:tcW w:w="19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建筑综合节能率</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16.8%</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r>
      <w:tr>
        <w:tc>
          <w:tcPr>
            <w:tcW w:w="19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节水与水资源利用</w:t>
            </w:r>
          </w:p>
        </w:tc>
        <w:tc>
          <w:tcPr>
            <w:tcW w:w="19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雨水回收利用率</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15.35%</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r>
      <w:tr>
        <w:tc>
          <w:tcPr>
            <w:tcW w:w="19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节水与水资源利用</w:t>
            </w:r>
          </w:p>
        </w:tc>
        <w:tc>
          <w:tcPr>
            <w:tcW w:w="19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节水器具普及率</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100%</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≥90%</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r>
      <w:tr>
        <w:tc>
          <w:tcPr>
            <w:tcW w:w="19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环境与宜居</w:t>
            </w:r>
          </w:p>
        </w:tc>
        <w:tc>
          <w:tcPr>
            <w:tcW w:w="195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室外绿地率</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67.29%</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≥35%</w:t>
            </w:r>
          </w:p>
        </w:tc>
        <w:tc>
          <w:tcPr>
            <w:tcW w:w="145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合格</w:t>
            </w:r>
          </w:p>
        </w:tc>
      </w:tr>
    </w:tbl>
    <w:p>
      <w:pPr>
        <w:pStyle w:val="2"/>
        <w:spacing w:before="320" w:after="120" w:line="288" w:lineRule="auto"/>
        <w:ind w:left="0"/>
        <w:jc w:val="left"/>
        <w:outlineLvl w:val="1"/>
      </w:pPr>
      <w:bookmarkStart w:name="heading_23" w:id="23"/>
      <w:r>
        <w:rPr>
          <w:rFonts w:eastAsia="等线" w:ascii="Arial" w:cs="Arial" w:hAnsi="Arial"/>
          <w:b w:val="true"/>
          <w:sz w:val="32"/>
        </w:rPr>
        <w:t>五、签字确认（佐证计算真实性、合规性）</w:t>
      </w:r>
      <w:bookmarkEnd w:id="23"/>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760"/>
        <w:gridCol w:w="2760"/>
        <w:gridCol w:w="2760"/>
      </w:tblGrid>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计算人（签字）：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张XX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日期：2024年2月4日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审核人（签字）：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李XX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日期：2024年2月4日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绿建专项核查人（签字）：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王XX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日期：2024年2月5日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博物馆负责人（签字）：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周XX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日期：2024年2月4日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第三方检测单位代表（签字）：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刘XX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日期：2024年2月3日</w:t>
            </w:r>
          </w:p>
        </w:tc>
      </w:tr>
    </w:tbl>
    <w:p>
      <w:pPr>
        <w:pStyle w:val="2"/>
        <w:spacing w:before="320" w:after="120" w:line="288" w:lineRule="auto"/>
        <w:ind w:left="0"/>
        <w:jc w:val="left"/>
        <w:outlineLvl w:val="1"/>
      </w:pPr>
      <w:bookmarkStart w:name="heading_24" w:id="24"/>
      <w:r>
        <w:rPr>
          <w:rFonts w:eastAsia="等线" w:ascii="Arial" w:cs="Arial" w:hAnsi="Arial"/>
          <w:b w:val="true"/>
          <w:sz w:val="32"/>
        </w:rPr>
        <w:t>注释</w:t>
      </w:r>
      <w:bookmarkEnd w:id="24"/>
    </w:p>
    <w:p>
      <w:pPr>
        <w:spacing w:before="120" w:after="120" w:line="288" w:lineRule="auto"/>
        <w:ind w:left="0"/>
        <w:jc w:val="left"/>
      </w:pPr>
      <w:r>
        <w:rPr>
          <w:rFonts w:eastAsia="等线" w:ascii="Arial" w:cs="Arial" w:hAnsi="Arial"/>
          <w:sz w:val="22"/>
        </w:rPr>
        <w:t>[superscript:1] 依据《河南省绿色建筑条例》，绿色建筑按国家标准划分为基本级、一星级、二星级、三星级，本计算书严格按照二星级评价指标开展计算，确保各项指标符合规范要求。</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8915983">
    <w:lvl>
      <w:start w:val="1"/>
      <w:numFmt w:val="decimal"/>
      <w:suff w:val="tab"/>
      <w:lvlText w:val="%1."/>
      <w:rPr>
        <w:color w:val="3370ff"/>
      </w:rPr>
    </w:lvl>
  </w:abstractNum>
  <w:abstractNum w:abstractNumId="8915984">
    <w:lvl>
      <w:start w:val="2"/>
      <w:numFmt w:val="decimal"/>
      <w:suff w:val="tab"/>
      <w:lvlText w:val="%1."/>
      <w:rPr>
        <w:color w:val="3370ff"/>
      </w:rPr>
    </w:lvl>
  </w:abstractNum>
  <w:abstractNum w:abstractNumId="8915985">
    <w:lvl>
      <w:start w:val="3"/>
      <w:numFmt w:val="decimal"/>
      <w:suff w:val="tab"/>
      <w:lvlText w:val="%1."/>
      <w:rPr>
        <w:color w:val="3370ff"/>
      </w:rPr>
    </w:lvl>
  </w:abstractNum>
  <w:abstractNum w:abstractNumId="8915986">
    <w:lvl>
      <w:start w:val="4"/>
      <w:numFmt w:val="decimal"/>
      <w:suff w:val="tab"/>
      <w:lvlText w:val="%1."/>
      <w:rPr>
        <w:color w:val="3370ff"/>
      </w:rPr>
    </w:lvl>
  </w:abstractNum>
  <w:abstractNum w:abstractNumId="8915987">
    <w:lvl>
      <w:start w:val="1"/>
      <w:numFmt w:val="decimal"/>
      <w:suff w:val="tab"/>
      <w:lvlText w:val="%1."/>
      <w:rPr>
        <w:color w:val="3370ff"/>
      </w:rPr>
    </w:lvl>
  </w:abstractNum>
  <w:abstractNum w:abstractNumId="8915988">
    <w:lvl>
      <w:start w:val="2"/>
      <w:numFmt w:val="decimal"/>
      <w:suff w:val="tab"/>
      <w:lvlText w:val="%1."/>
      <w:rPr>
        <w:color w:val="3370ff"/>
      </w:rPr>
    </w:lvl>
  </w:abstractNum>
  <w:abstractNum w:abstractNumId="8915989">
    <w:lvl>
      <w:start w:val="3"/>
      <w:numFmt w:val="decimal"/>
      <w:suff w:val="tab"/>
      <w:lvlText w:val="%1."/>
      <w:rPr>
        <w:color w:val="3370ff"/>
      </w:rPr>
    </w:lvl>
  </w:abstractNum>
  <w:abstractNum w:abstractNumId="8915990">
    <w:lvl>
      <w:start w:val="4"/>
      <w:numFmt w:val="decimal"/>
      <w:suff w:val="tab"/>
      <w:lvlText w:val="%1."/>
      <w:rPr>
        <w:color w:val="3370ff"/>
      </w:rPr>
    </w:lvl>
  </w:abstractNum>
  <w:abstractNum w:abstractNumId="8915991">
    <w:lvl>
      <w:numFmt w:val="bullet"/>
      <w:suff w:val="tab"/>
      <w:lvlText w:val="•"/>
      <w:rPr>
        <w:color w:val="3370ff"/>
      </w:rPr>
    </w:lvl>
  </w:abstractNum>
  <w:abstractNum w:abstractNumId="8915992">
    <w:lvl>
      <w:numFmt w:val="bullet"/>
      <w:suff w:val="tab"/>
      <w:lvlText w:val="•"/>
      <w:rPr>
        <w:color w:val="3370ff"/>
      </w:rPr>
    </w:lvl>
  </w:abstractNum>
  <w:abstractNum w:abstractNumId="8915993">
    <w:lvl>
      <w:numFmt w:val="bullet"/>
      <w:suff w:val="tab"/>
      <w:lvlText w:val="•"/>
      <w:rPr>
        <w:color w:val="3370ff"/>
      </w:rPr>
    </w:lvl>
  </w:abstractNum>
  <w:abstractNum w:abstractNumId="8915994">
    <w:lvl>
      <w:numFmt w:val="bullet"/>
      <w:suff w:val="tab"/>
      <w:lvlText w:val="•"/>
      <w:rPr>
        <w:color w:val="3370ff"/>
      </w:rPr>
    </w:lvl>
  </w:abstractNum>
  <w:abstractNum w:abstractNumId="8915995">
    <w:lvl>
      <w:start w:val="1"/>
      <w:numFmt w:val="decimal"/>
      <w:suff w:val="tab"/>
      <w:lvlText w:val="%1."/>
      <w:rPr>
        <w:color w:val="3370ff"/>
      </w:rPr>
    </w:lvl>
  </w:abstractNum>
  <w:abstractNum w:abstractNumId="8915996">
    <w:lvl>
      <w:start w:val="2"/>
      <w:numFmt w:val="decimal"/>
      <w:suff w:val="tab"/>
      <w:lvlText w:val="%1."/>
      <w:rPr>
        <w:color w:val="3370ff"/>
      </w:rPr>
    </w:lvl>
  </w:abstractNum>
  <w:abstractNum w:abstractNumId="8915997">
    <w:lvl>
      <w:start w:val="3"/>
      <w:numFmt w:val="decimal"/>
      <w:suff w:val="tab"/>
      <w:lvlText w:val="%1."/>
      <w:rPr>
        <w:color w:val="3370ff"/>
      </w:rPr>
    </w:lvl>
  </w:abstractNum>
  <w:abstractNum w:abstractNumId="8915998">
    <w:lvl>
      <w:start w:val="4"/>
      <w:numFmt w:val="decimal"/>
      <w:suff w:val="tab"/>
      <w:lvlText w:val="%1."/>
      <w:rPr>
        <w:color w:val="3370ff"/>
      </w:rPr>
    </w:lvl>
  </w:abstractNum>
  <w:abstractNum w:abstractNumId="8915999">
    <w:lvl>
      <w:numFmt w:val="bullet"/>
      <w:suff w:val="tab"/>
      <w:lvlText w:val="•"/>
      <w:rPr>
        <w:color w:val="3370ff"/>
      </w:rPr>
    </w:lvl>
  </w:abstractNum>
  <w:abstractNum w:abstractNumId="8916000">
    <w:lvl>
      <w:numFmt w:val="bullet"/>
      <w:suff w:val="tab"/>
      <w:lvlText w:val="•"/>
      <w:rPr>
        <w:color w:val="3370ff"/>
      </w:rPr>
    </w:lvl>
  </w:abstractNum>
  <w:abstractNum w:abstractNumId="8916001">
    <w:lvl>
      <w:numFmt w:val="bullet"/>
      <w:suff w:val="tab"/>
      <w:lvlText w:val="•"/>
      <w:rPr>
        <w:color w:val="3370ff"/>
      </w:rPr>
    </w:lvl>
  </w:abstractNum>
  <w:abstractNum w:abstractNumId="8916002">
    <w:lvl>
      <w:numFmt w:val="bullet"/>
      <w:suff w:val="tab"/>
      <w:lvlText w:val="•"/>
      <w:rPr>
        <w:color w:val="3370ff"/>
      </w:rPr>
    </w:lvl>
  </w:abstractNum>
  <w:abstractNum w:abstractNumId="8916003">
    <w:lvl>
      <w:start w:val="1"/>
      <w:numFmt w:val="decimal"/>
      <w:suff w:val="tab"/>
      <w:lvlText w:val="%1."/>
      <w:rPr>
        <w:color w:val="3370ff"/>
      </w:rPr>
    </w:lvl>
  </w:abstractNum>
  <w:abstractNum w:abstractNumId="8916004">
    <w:lvl>
      <w:start w:val="2"/>
      <w:numFmt w:val="decimal"/>
      <w:suff w:val="tab"/>
      <w:lvlText w:val="%1."/>
      <w:rPr>
        <w:color w:val="3370ff"/>
      </w:rPr>
    </w:lvl>
  </w:abstractNum>
  <w:abstractNum w:abstractNumId="8916005">
    <w:lvl>
      <w:start w:val="3"/>
      <w:numFmt w:val="decimal"/>
      <w:suff w:val="tab"/>
      <w:lvlText w:val="%1."/>
      <w:rPr>
        <w:color w:val="3370ff"/>
      </w:rPr>
    </w:lvl>
  </w:abstractNum>
  <w:abstractNum w:abstractNumId="8916006">
    <w:lvl>
      <w:start w:val="4"/>
      <w:numFmt w:val="decimal"/>
      <w:suff w:val="tab"/>
      <w:lvlText w:val="%1."/>
      <w:rPr>
        <w:color w:val="3370ff"/>
      </w:rPr>
    </w:lvl>
  </w:abstractNum>
  <w:abstractNum w:abstractNumId="8916007">
    <w:lvl>
      <w:start w:val="5"/>
      <w:numFmt w:val="decimal"/>
      <w:suff w:val="tab"/>
      <w:lvlText w:val="%1."/>
      <w:rPr>
        <w:color w:val="3370ff"/>
      </w:rPr>
    </w:lvl>
  </w:abstractNum>
  <w:abstractNum w:abstractNumId="8916008">
    <w:lvl>
      <w:numFmt w:val="bullet"/>
      <w:suff w:val="tab"/>
      <w:lvlText w:val="•"/>
      <w:rPr>
        <w:color w:val="3370ff"/>
      </w:rPr>
    </w:lvl>
  </w:abstractNum>
  <w:abstractNum w:abstractNumId="8916009">
    <w:lvl>
      <w:numFmt w:val="bullet"/>
      <w:suff w:val="tab"/>
      <w:lvlText w:val="•"/>
      <w:rPr>
        <w:color w:val="3370ff"/>
      </w:rPr>
    </w:lvl>
  </w:abstractNum>
  <w:abstractNum w:abstractNumId="8916010">
    <w:lvl>
      <w:numFmt w:val="bullet"/>
      <w:suff w:val="tab"/>
      <w:lvlText w:val="•"/>
      <w:rPr>
        <w:color w:val="3370ff"/>
      </w:rPr>
    </w:lvl>
  </w:abstractNum>
  <w:abstractNum w:abstractNumId="8916011">
    <w:lvl>
      <w:numFmt w:val="bullet"/>
      <w:suff w:val="tab"/>
      <w:lvlText w:val="•"/>
      <w:rPr>
        <w:color w:val="3370ff"/>
      </w:rPr>
    </w:lvl>
  </w:abstractNum>
  <w:abstractNum w:abstractNumId="8916012">
    <w:lvl>
      <w:start w:val="1"/>
      <w:numFmt w:val="decimal"/>
      <w:suff w:val="tab"/>
      <w:lvlText w:val="%1."/>
      <w:rPr>
        <w:color w:val="3370ff"/>
      </w:rPr>
    </w:lvl>
  </w:abstractNum>
  <w:abstractNum w:abstractNumId="8916013">
    <w:lvl>
      <w:start w:val="2"/>
      <w:numFmt w:val="decimal"/>
      <w:suff w:val="tab"/>
      <w:lvlText w:val="%1."/>
      <w:rPr>
        <w:color w:val="3370ff"/>
      </w:rPr>
    </w:lvl>
  </w:abstractNum>
  <w:abstractNum w:abstractNumId="8916014">
    <w:lvl>
      <w:start w:val="3"/>
      <w:numFmt w:val="decimal"/>
      <w:suff w:val="tab"/>
      <w:lvlText w:val="%1."/>
      <w:rPr>
        <w:color w:val="3370ff"/>
      </w:rPr>
    </w:lvl>
  </w:abstractNum>
  <w:abstractNum w:abstractNumId="8916015">
    <w:lvl>
      <w:start w:val="4"/>
      <w:numFmt w:val="decimal"/>
      <w:suff w:val="tab"/>
      <w:lvlText w:val="%1."/>
      <w:rPr>
        <w:color w:val="3370ff"/>
      </w:rPr>
    </w:lvl>
  </w:abstractNum>
  <w:abstractNum w:abstractNumId="8916016">
    <w:lvl>
      <w:numFmt w:val="bullet"/>
      <w:suff w:val="tab"/>
      <w:lvlText w:val="•"/>
      <w:rPr>
        <w:color w:val="3370ff"/>
      </w:rPr>
    </w:lvl>
  </w:abstractNum>
  <w:abstractNum w:abstractNumId="8916017">
    <w:lvl>
      <w:numFmt w:val="bullet"/>
      <w:suff w:val="tab"/>
      <w:lvlText w:val="•"/>
      <w:rPr>
        <w:color w:val="3370ff"/>
      </w:rPr>
    </w:lvl>
  </w:abstractNum>
  <w:abstractNum w:abstractNumId="8916018">
    <w:lvl>
      <w:numFmt w:val="bullet"/>
      <w:suff w:val="tab"/>
      <w:lvlText w:val="•"/>
      <w:rPr>
        <w:color w:val="3370ff"/>
      </w:rPr>
    </w:lvl>
  </w:abstractNum>
  <w:abstractNum w:abstractNumId="8916019">
    <w:lvl>
      <w:start w:val="1"/>
      <w:numFmt w:val="decimal"/>
      <w:suff w:val="tab"/>
      <w:lvlText w:val="%1."/>
      <w:rPr>
        <w:color w:val="3370ff"/>
      </w:rPr>
    </w:lvl>
  </w:abstractNum>
  <w:abstractNum w:abstractNumId="8916020">
    <w:lvl>
      <w:start w:val="2"/>
      <w:numFmt w:val="decimal"/>
      <w:suff w:val="tab"/>
      <w:lvlText w:val="%1."/>
      <w:rPr>
        <w:color w:val="3370ff"/>
      </w:rPr>
    </w:lvl>
  </w:abstractNum>
  <w:abstractNum w:abstractNumId="8916021">
    <w:lvl>
      <w:start w:val="3"/>
      <w:numFmt w:val="decimal"/>
      <w:suff w:val="tab"/>
      <w:lvlText w:val="%1."/>
      <w:rPr>
        <w:color w:val="3370ff"/>
      </w:rPr>
    </w:lvl>
  </w:abstractNum>
  <w:abstractNum w:abstractNumId="8916022">
    <w:lvl>
      <w:start w:val="4"/>
      <w:numFmt w:val="decimal"/>
      <w:suff w:val="tab"/>
      <w:lvlText w:val="%1."/>
      <w:rPr>
        <w:color w:val="3370ff"/>
      </w:rPr>
    </w:lvl>
  </w:abstractNum>
  <w:num w:numId="1">
    <w:abstractNumId w:val="8915983"/>
  </w:num>
  <w:num w:numId="2">
    <w:abstractNumId w:val="8915984"/>
  </w:num>
  <w:num w:numId="3">
    <w:abstractNumId w:val="8915985"/>
  </w:num>
  <w:num w:numId="4">
    <w:abstractNumId w:val="8915986"/>
  </w:num>
  <w:num w:numId="5">
    <w:abstractNumId w:val="8915987"/>
  </w:num>
  <w:num w:numId="6">
    <w:abstractNumId w:val="8915988"/>
  </w:num>
  <w:num w:numId="7">
    <w:abstractNumId w:val="8915989"/>
  </w:num>
  <w:num w:numId="8">
    <w:abstractNumId w:val="8915990"/>
  </w:num>
  <w:num w:numId="9">
    <w:abstractNumId w:val="8915991"/>
  </w:num>
  <w:num w:numId="10">
    <w:abstractNumId w:val="8915992"/>
  </w:num>
  <w:num w:numId="11">
    <w:abstractNumId w:val="8915993"/>
  </w:num>
  <w:num w:numId="12">
    <w:abstractNumId w:val="8915994"/>
  </w:num>
  <w:num w:numId="13">
    <w:abstractNumId w:val="8915995"/>
  </w:num>
  <w:num w:numId="14">
    <w:abstractNumId w:val="8915996"/>
  </w:num>
  <w:num w:numId="15">
    <w:abstractNumId w:val="8915997"/>
  </w:num>
  <w:num w:numId="16">
    <w:abstractNumId w:val="8915998"/>
  </w:num>
  <w:num w:numId="17">
    <w:abstractNumId w:val="8915999"/>
  </w:num>
  <w:num w:numId="18">
    <w:abstractNumId w:val="8916000"/>
  </w:num>
  <w:num w:numId="19">
    <w:abstractNumId w:val="8916001"/>
  </w:num>
  <w:num w:numId="20">
    <w:abstractNumId w:val="8916002"/>
  </w:num>
  <w:num w:numId="21">
    <w:abstractNumId w:val="8916003"/>
  </w:num>
  <w:num w:numId="22">
    <w:abstractNumId w:val="8916004"/>
  </w:num>
  <w:num w:numId="23">
    <w:abstractNumId w:val="8916005"/>
  </w:num>
  <w:num w:numId="24">
    <w:abstractNumId w:val="8916006"/>
  </w:num>
  <w:num w:numId="25">
    <w:abstractNumId w:val="8916007"/>
  </w:num>
  <w:num w:numId="26">
    <w:abstractNumId w:val="8916008"/>
  </w:num>
  <w:num w:numId="27">
    <w:abstractNumId w:val="8916009"/>
  </w:num>
  <w:num w:numId="28">
    <w:abstractNumId w:val="8916010"/>
  </w:num>
  <w:num w:numId="29">
    <w:abstractNumId w:val="8916011"/>
  </w:num>
  <w:num w:numId="30">
    <w:abstractNumId w:val="8916012"/>
  </w:num>
  <w:num w:numId="31">
    <w:abstractNumId w:val="8916013"/>
  </w:num>
  <w:num w:numId="32">
    <w:abstractNumId w:val="8916014"/>
  </w:num>
  <w:num w:numId="33">
    <w:abstractNumId w:val="8916015"/>
  </w:num>
  <w:num w:numId="34">
    <w:abstractNumId w:val="8916016"/>
  </w:num>
  <w:num w:numId="35">
    <w:abstractNumId w:val="8916017"/>
  </w:num>
  <w:num w:numId="36">
    <w:abstractNumId w:val="8916018"/>
  </w:num>
  <w:num w:numId="37">
    <w:abstractNumId w:val="8916019"/>
  </w:num>
  <w:num w:numId="38">
    <w:abstractNumId w:val="8916020"/>
  </w:num>
  <w:num w:numId="39">
    <w:abstractNumId w:val="8916021"/>
  </w:num>
  <w:num w:numId="40">
    <w:abstractNumId w:val="8916022"/>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2026-03-28T10:34:41Z</dcterms:created>
  <dc:creator>Apache POI</dc:creator>
</cp:coreProperties>
</file>