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能耗分项计量表采购清单及产品说明、设备材料表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一、文档编制说明</w:t>
      </w:r>
      <w:bookmarkEnd w:id="0"/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本文档严格依据绿色建筑评价系统中</w:t>
            </w:r>
            <w:r>
              <w:rPr>
                <w:rFonts w:eastAsia="等线" w:ascii="Arial" w:cs="Arial" w:hAnsi="Arial"/>
                <w:b w:val="true"/>
                <w:sz w:val="22"/>
              </w:rPr>
              <w:t>冷热源、输配系统和照明等各部分能耗独立分项计量</w:t>
            </w:r>
            <w:r>
              <w:rPr>
                <w:rFonts w:eastAsia="等线" w:ascii="Arial" w:cs="Arial" w:hAnsi="Arial"/>
                <w:sz w:val="22"/>
              </w:rPr>
              <w:t>的核心要求编制，涵盖项目能耗计量设备的采购清单、产品技术说明、设备材料明细三大板块，所有设备参数、规格、数量均贴合项目实际工况，满足绿建评审分项计量核验要求，可直接用于采购报审及归档。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项目基础信息</w:t>
      </w:r>
      <w:bookmarkEnd w:id="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00"/>
        <w:gridCol w:w="3000"/>
      </w:tblGrid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项目名称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辰光溯昔—基于豫南地区生态的</w:t>
            </w:r>
            <w:r>
              <w:rPr>
                <w:rFonts w:eastAsia="等线" w:ascii="Arial" w:cs="Arial" w:hAnsi="Arial"/>
                <w:sz w:val="22"/>
              </w:rPr>
              <w:t>博物馆绿色建筑设计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建设地点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河南省驻马店市驿城区练江大道与白桥路交叉口西南角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用地面积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36612 ㎡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建筑面积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18209.2 ㎡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计量范围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冷热源系统能耗、输</w:t>
            </w:r>
            <w:r>
              <w:rPr>
                <w:rFonts w:eastAsia="等线" w:ascii="Arial" w:cs="Arial" w:hAnsi="Arial"/>
                <w:sz w:val="22"/>
              </w:rPr>
              <w:t>配系统能耗、照明系统能耗（独立分项计量）</w:t>
            </w:r>
          </w:p>
        </w:tc>
      </w:tr>
      <w:tr>
        <w:tc>
          <w:tcPr>
            <w:tcW w:w="27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b w:val="true"/>
                <w:sz w:val="22"/>
              </w:rPr>
              <w:t>执行标准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绿色建筑评价标准、《公共建筑节能设计</w:t>
            </w:r>
            <w:r>
              <w:rPr>
                <w:rFonts w:eastAsia="等线" w:ascii="Arial" w:cs="Arial" w:hAnsi="Arial"/>
                <w:sz w:val="22"/>
              </w:rPr>
              <w:t>标准》GB 50189-2015、《用能单位能源计量器具配备和</w:t>
            </w:r>
            <w:r>
              <w:rPr>
                <w:rFonts w:eastAsia="等线" w:ascii="Arial" w:cs="Arial" w:hAnsi="Arial"/>
                <w:sz w:val="22"/>
              </w:rPr>
              <w:t>管理通则》GB 17167-2006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" w:id="2"/>
      <w:r>
        <w:rPr>
          <w:rFonts w:eastAsia="等线" w:ascii="Arial" w:cs="Arial" w:hAnsi="Arial"/>
          <w:b w:val="true"/>
          <w:sz w:val="36"/>
        </w:rPr>
        <w:t>二、能耗分项计量表产品采购清单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本清单按</w:t>
      </w:r>
      <w:r>
        <w:rPr>
          <w:rFonts w:eastAsia="等线" w:ascii="Arial" w:cs="Arial" w:hAnsi="Arial"/>
          <w:b w:val="true"/>
          <w:sz w:val="22"/>
        </w:rPr>
        <w:t>冷热源、输配系统、照明系统</w:t>
      </w:r>
      <w:r>
        <w:rPr>
          <w:rFonts w:eastAsia="等线" w:ascii="Arial" w:cs="Arial" w:hAnsi="Arial"/>
          <w:sz w:val="22"/>
        </w:rPr>
        <w:t>三大分项分类罗列，所有计量表具备高精度、远传、独立计量功能，满足绿建分项计量数据采集、上传、统计要求。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型号规格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计量分项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安装位置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智能远传电能表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DTSD862 3×220/</w:t>
            </w:r>
            <w:r>
              <w:rPr>
                <w:rFonts w:eastAsia="等线" w:ascii="Arial" w:cs="Arial" w:hAnsi="Arial"/>
                <w:sz w:val="22"/>
              </w:rPr>
              <w:t>380V 1.5(6)A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冷热源系统（空调主机</w:t>
            </w:r>
            <w:r>
              <w:rPr>
                <w:rFonts w:eastAsia="等线" w:ascii="Arial" w:cs="Arial" w:hAnsi="Arial"/>
                <w:sz w:val="22"/>
              </w:rPr>
              <w:t>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块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制冷机房、换热站配电柜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独立计量冷源/热源耗电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智能远传电能表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DTSD862 3×220/380V 1.5(6)A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输配系统（水泵、风机）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块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空调水泵</w:t>
            </w:r>
            <w:r>
              <w:rPr>
                <w:rFonts w:eastAsia="等线" w:ascii="Arial" w:cs="Arial" w:hAnsi="Arial"/>
                <w:sz w:val="22"/>
              </w:rPr>
              <w:t>房、风机配电柜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独立计量输配动力耗电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智能远传电能表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DTSD862 3×220/380V 1.5(6)A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照明系统（公共区+展厅）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块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各楼层</w:t>
            </w:r>
            <w:r>
              <w:rPr>
                <w:rFonts w:eastAsia="等线" w:ascii="Arial" w:cs="Arial" w:hAnsi="Arial"/>
                <w:sz w:val="22"/>
              </w:rPr>
              <w:t>照明配电箱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独立计量照明耗电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超声波冷热量表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UHC-L80 DN80 PN16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冷热源系统（冷量</w:t>
            </w:r>
            <w:r>
              <w:rPr>
                <w:rFonts w:eastAsia="等线" w:ascii="Arial" w:cs="Arial" w:hAnsi="Arial"/>
                <w:sz w:val="22"/>
              </w:rPr>
              <w:t>/热量）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空调供回水主管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计量空调冷热能耗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超声波冷</w:t>
            </w:r>
            <w:r>
              <w:rPr>
                <w:rFonts w:eastAsia="等线" w:ascii="Arial" w:cs="Arial" w:hAnsi="Arial"/>
                <w:sz w:val="22"/>
              </w:rPr>
              <w:t>热量表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UHC-L50 DN50 PN16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输配系统（分支管路）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各分区</w:t>
            </w:r>
            <w:r>
              <w:rPr>
                <w:rFonts w:eastAsia="等线" w:ascii="Arial" w:cs="Arial" w:hAnsi="Arial"/>
                <w:sz w:val="22"/>
              </w:rPr>
              <w:t>供回水管路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分区域计量输配能耗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数据采集器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HC-600 4G远传型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全分项能耗</w:t>
            </w:r>
            <w:r>
              <w:rPr>
                <w:rFonts w:eastAsia="等线" w:ascii="Arial" w:cs="Arial" w:hAnsi="Arial"/>
                <w:sz w:val="22"/>
              </w:rPr>
              <w:t>数据采集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监控室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汇总上传分项计量数据</w:t>
            </w:r>
          </w:p>
        </w:tc>
      </w:tr>
      <w:tr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计量表辅材</w:t>
            </w:r>
            <w:r>
              <w:rPr>
                <w:rFonts w:eastAsia="等线" w:ascii="Arial" w:cs="Arial" w:hAnsi="Arial"/>
                <w:sz w:val="22"/>
              </w:rPr>
              <w:t>套件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含互感器、接线、支架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配套安装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各计量点位</w:t>
            </w:r>
          </w:p>
        </w:tc>
        <w:tc>
          <w:tcPr>
            <w:tcW w:w="10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含安装辅材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" w:id="3"/>
      <w:r>
        <w:rPr>
          <w:rFonts w:eastAsia="等线" w:ascii="Arial" w:cs="Arial" w:hAnsi="Arial"/>
          <w:b w:val="true"/>
          <w:sz w:val="36"/>
        </w:rPr>
        <w:t>三、计量设备产品技术说明</w:t>
      </w:r>
      <w:bookmarkEnd w:id="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3.1 智能远传电能表（照明/冷热源/输配专用）</w:t>
      </w:r>
      <w:bookmarkEnd w:id="4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产品型号</w:t>
      </w:r>
      <w:r>
        <w:rPr>
          <w:rFonts w:eastAsia="等线" w:ascii="Arial" w:cs="Arial" w:hAnsi="Arial"/>
          <w:sz w:val="22"/>
        </w:rPr>
        <w:t>：DTSD862 三相四线智能电能表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核心参数</w:t>
      </w:r>
      <w:r>
        <w:rPr>
          <w:rFonts w:eastAsia="等线" w:ascii="Arial" w:cs="Arial" w:hAnsi="Arial"/>
          <w:sz w:val="22"/>
        </w:rPr>
        <w:t>：额定电压3×220/380V，电流1.5(6)A，精度等级0.5S级，符合GB/T 17215-2020标准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功能特性</w:t>
      </w:r>
      <w:r>
        <w:rPr>
          <w:rFonts w:eastAsia="等线" w:ascii="Arial" w:cs="Arial" w:hAnsi="Arial"/>
          <w:sz w:val="22"/>
        </w:rPr>
        <w:t>：支持独立分项计量、4G远程数据传输、实时数据采集、历史数据存储、断电数据保持；可精准区分照明、冷热源、输配系统能耗，互不干扰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适配场景</w:t>
      </w:r>
      <w:r>
        <w:rPr>
          <w:rFonts w:eastAsia="等线" w:ascii="Arial" w:cs="Arial" w:hAnsi="Arial"/>
          <w:sz w:val="22"/>
        </w:rPr>
        <w:t>：博物馆照明配电箱、空调主机配电柜、水泵风机动力柜，满足绿建独立计量要求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产品资质</w:t>
      </w:r>
      <w:r>
        <w:rPr>
          <w:rFonts w:eastAsia="等线" w:ascii="Arial" w:cs="Arial" w:hAnsi="Arial"/>
          <w:sz w:val="22"/>
        </w:rPr>
        <w:t>：具备国家计量器具型式批准证书、3C认证，能效达标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3.2 超声波冷热量表（冷热源/输配专用）</w:t>
      </w:r>
      <w:bookmarkEnd w:id="5"/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产品型号</w:t>
      </w:r>
      <w:r>
        <w:rPr>
          <w:rFonts w:eastAsia="等线" w:ascii="Arial" w:cs="Arial" w:hAnsi="Arial"/>
          <w:sz w:val="22"/>
        </w:rPr>
        <w:t>：UHC-L系列超声波冷热量表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核心参数</w:t>
      </w:r>
      <w:r>
        <w:rPr>
          <w:rFonts w:eastAsia="等线" w:ascii="Arial" w:cs="Arial" w:hAnsi="Arial"/>
          <w:sz w:val="22"/>
        </w:rPr>
        <w:t>：DN50/DN80规格，PN16压力等级，精度等级2级，工作温度0-95℃，符合CJ/T 128-2019标准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功能特性</w:t>
      </w:r>
      <w:r>
        <w:rPr>
          <w:rFonts w:eastAsia="等线" w:ascii="Arial" w:cs="Arial" w:hAnsi="Arial"/>
          <w:sz w:val="22"/>
        </w:rPr>
        <w:t>：无机械磨损、测量精度稳定、压损小；可独立计量空调冷量、热量，实时采集流量、温度、能耗数据，支持远传上传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适配场景</w:t>
      </w:r>
      <w:r>
        <w:rPr>
          <w:rFonts w:eastAsia="等线" w:ascii="Arial" w:cs="Arial" w:hAnsi="Arial"/>
          <w:sz w:val="22"/>
        </w:rPr>
        <w:t>：空调供回水主管、输配系统分支管路，精准计量冷热源及输配能耗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产品资质</w:t>
      </w:r>
      <w:r>
        <w:rPr>
          <w:rFonts w:eastAsia="等线" w:ascii="Arial" w:cs="Arial" w:hAnsi="Arial"/>
          <w:sz w:val="22"/>
        </w:rPr>
        <w:t>：国家计量检测合格证书、节能产品认证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3.3 能耗数据采集器</w:t>
      </w:r>
      <w:bookmarkEnd w:id="6"/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产品型号</w:t>
      </w:r>
      <w:r>
        <w:rPr>
          <w:rFonts w:eastAsia="等线" w:ascii="Arial" w:cs="Arial" w:hAnsi="Arial"/>
          <w:sz w:val="22"/>
        </w:rPr>
        <w:t>：HC-600 4G远传型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核心参数</w:t>
      </w:r>
      <w:r>
        <w:rPr>
          <w:rFonts w:eastAsia="等线" w:ascii="Arial" w:cs="Arial" w:hAnsi="Arial"/>
          <w:sz w:val="22"/>
        </w:rPr>
        <w:t>：支持多路数据采集，4G无线传输，兼容Modbus-RTU协议，存储容量≥10万条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功能特性</w:t>
      </w:r>
      <w:r>
        <w:rPr>
          <w:rFonts w:eastAsia="等线" w:ascii="Arial" w:cs="Arial" w:hAnsi="Arial"/>
          <w:sz w:val="22"/>
        </w:rPr>
        <w:t>：集中采集照明、冷热源、输配系统分项计量数据，自动上传至能耗监测平台，实现分项数据实时统计、分析，满足绿建数据溯源要求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适配场景</w:t>
      </w:r>
      <w:r>
        <w:rPr>
          <w:rFonts w:eastAsia="等线" w:ascii="Arial" w:cs="Arial" w:hAnsi="Arial"/>
          <w:sz w:val="22"/>
        </w:rPr>
        <w:t>：建筑监控室、弱电间，统一管理全部分项计量设备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四、设备材料明细表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本表详细罗列计量系统所需主设备、辅材、配件，规格数量精准，便于采购、安装及结算，所有材料均符合工程安装规范。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序号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单位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用途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三相</w:t>
            </w:r>
            <w:r>
              <w:rPr>
                <w:rFonts w:eastAsia="等线" w:ascii="Arial" w:cs="Arial" w:hAnsi="Arial"/>
                <w:sz w:val="22"/>
              </w:rPr>
              <w:t>智能电能表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DTSD862 1.5(6)A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照明、冷热源、输配分项计量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主计量设备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超声波冷热量表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DN50/DN80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冷热</w:t>
            </w:r>
            <w:r>
              <w:rPr>
                <w:rFonts w:eastAsia="等线" w:ascii="Arial" w:cs="Arial" w:hAnsi="Arial"/>
                <w:sz w:val="22"/>
              </w:rPr>
              <w:t>能耗计量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含传感器、表体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电流互感器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BH-0.66 </w:t>
            </w:r>
            <w:r>
              <w:rPr>
                <w:rFonts w:eastAsia="等线" w:ascii="Arial" w:cs="Arial" w:hAnsi="Arial"/>
                <w:sz w:val="22"/>
              </w:rPr>
              <w:t>30/5A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个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电能表配套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每表3个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能耗数据采集器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HC-600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数据汇总</w:t>
            </w:r>
            <w:r>
              <w:rPr>
                <w:rFonts w:eastAsia="等线" w:ascii="Arial" w:cs="Arial" w:hAnsi="Arial"/>
                <w:sz w:val="22"/>
              </w:rPr>
              <w:t>上传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含通讯模块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屏蔽通讯线缆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 xml:space="preserve">RVVP </w:t>
            </w:r>
            <w:r>
              <w:rPr>
                <w:rFonts w:eastAsia="等线" w:ascii="Arial" w:cs="Arial" w:hAnsi="Arial"/>
                <w:sz w:val="22"/>
              </w:rPr>
              <w:t>2×1.0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米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350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计量表数据传输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抗干扰专用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安装支架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镀锌钢制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计量表固定安装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防锈处理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接线端子、辅材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国标配套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批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设备接线、安装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含螺丝、扎带、绝缘套管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" w:id="8"/>
      <w:r>
        <w:rPr>
          <w:rFonts w:eastAsia="等线" w:ascii="Arial" w:cs="Arial" w:hAnsi="Arial"/>
          <w:b w:val="true"/>
          <w:sz w:val="36"/>
        </w:rPr>
        <w:t>五、绿建分项计量符合性说明</w:t>
      </w:r>
      <w:bookmarkEnd w:id="8"/>
    </w:p>
    <w:tbl>
      <w:tblPr>
        <w:tblW w:w="0" w:type="auto"/>
        <w:tblInd w:w="0" w:type="dxa"/>
        <w:tblBorders>
          <w:top w:val="single" w:color="fed4a4"/>
          <w:left w:val="single" w:color="fed4a4"/>
          <w:bottom w:val="single" w:color="fed4a4"/>
          <w:right w:val="single" w:color="fed4a4"/>
          <w:insideH w:val="single" w:color="fed4a4"/>
          <w:insideV w:val="single" w:color="fed4a4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ff5eb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本套计量设备严格按照绿建评价系统要求配置，实现</w:t>
            </w:r>
            <w:r>
              <w:rPr>
                <w:rFonts w:eastAsia="等线" w:ascii="Arial" w:cs="Arial" w:hAnsi="Arial"/>
                <w:b w:val="true"/>
                <w:sz w:val="22"/>
              </w:rPr>
              <w:t>冷热源系统、输配系统、照明系统</w:t>
            </w:r>
            <w:r>
              <w:rPr>
                <w:rFonts w:eastAsia="等线" w:ascii="Arial" w:cs="Arial" w:hAnsi="Arial"/>
                <w:sz w:val="22"/>
              </w:rPr>
              <w:t>能耗完全独立分项计量，无交叉统计、无数据混淆，计量精度、数据远传、设备资质均符合国家规范及绿建评审标准，可有效支撑项目能耗统计、节能分析、绿建核验工作。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4964912">
    <w:lvl>
      <w:numFmt w:val="bullet"/>
      <w:suff w:val="tab"/>
      <w:lvlText w:val="•"/>
      <w:rPr>
        <w:color w:val="3370ff"/>
      </w:rPr>
    </w:lvl>
  </w:abstractNum>
  <w:abstractNum w:abstractNumId="14964913">
    <w:lvl>
      <w:numFmt w:val="bullet"/>
      <w:suff w:val="tab"/>
      <w:lvlText w:val="•"/>
      <w:rPr>
        <w:color w:val="3370ff"/>
      </w:rPr>
    </w:lvl>
  </w:abstractNum>
  <w:abstractNum w:abstractNumId="14964914">
    <w:lvl>
      <w:numFmt w:val="bullet"/>
      <w:suff w:val="tab"/>
      <w:lvlText w:val="•"/>
      <w:rPr>
        <w:color w:val="3370ff"/>
      </w:rPr>
    </w:lvl>
  </w:abstractNum>
  <w:abstractNum w:abstractNumId="14964915">
    <w:lvl>
      <w:numFmt w:val="bullet"/>
      <w:suff w:val="tab"/>
      <w:lvlText w:val="•"/>
      <w:rPr>
        <w:color w:val="3370ff"/>
      </w:rPr>
    </w:lvl>
  </w:abstractNum>
  <w:abstractNum w:abstractNumId="14964916">
    <w:lvl>
      <w:numFmt w:val="bullet"/>
      <w:suff w:val="tab"/>
      <w:lvlText w:val="•"/>
      <w:rPr>
        <w:color w:val="3370ff"/>
      </w:rPr>
    </w:lvl>
  </w:abstractNum>
  <w:abstractNum w:abstractNumId="14964917">
    <w:lvl>
      <w:numFmt w:val="bullet"/>
      <w:suff w:val="tab"/>
      <w:lvlText w:val="•"/>
      <w:rPr>
        <w:color w:val="3370ff"/>
      </w:rPr>
    </w:lvl>
  </w:abstractNum>
  <w:abstractNum w:abstractNumId="14964918">
    <w:lvl>
      <w:numFmt w:val="bullet"/>
      <w:suff w:val="tab"/>
      <w:lvlText w:val="•"/>
      <w:rPr>
        <w:color w:val="3370ff"/>
      </w:rPr>
    </w:lvl>
  </w:abstractNum>
  <w:abstractNum w:abstractNumId="14964919">
    <w:lvl>
      <w:numFmt w:val="bullet"/>
      <w:suff w:val="tab"/>
      <w:lvlText w:val="•"/>
      <w:rPr>
        <w:color w:val="3370ff"/>
      </w:rPr>
    </w:lvl>
  </w:abstractNum>
  <w:abstractNum w:abstractNumId="14964920">
    <w:lvl>
      <w:numFmt w:val="bullet"/>
      <w:suff w:val="tab"/>
      <w:lvlText w:val="•"/>
      <w:rPr>
        <w:color w:val="3370ff"/>
      </w:rPr>
    </w:lvl>
  </w:abstractNum>
  <w:abstractNum w:abstractNumId="14964921">
    <w:lvl>
      <w:numFmt w:val="bullet"/>
      <w:suff w:val="tab"/>
      <w:lvlText w:val="•"/>
      <w:rPr>
        <w:color w:val="3370ff"/>
      </w:rPr>
    </w:lvl>
  </w:abstractNum>
  <w:abstractNum w:abstractNumId="14964922">
    <w:lvl>
      <w:numFmt w:val="bullet"/>
      <w:suff w:val="tab"/>
      <w:lvlText w:val="•"/>
      <w:rPr>
        <w:color w:val="3370ff"/>
      </w:rPr>
    </w:lvl>
  </w:abstractNum>
  <w:abstractNum w:abstractNumId="14964923">
    <w:lvl>
      <w:numFmt w:val="bullet"/>
      <w:suff w:val="tab"/>
      <w:lvlText w:val="•"/>
      <w:rPr>
        <w:color w:val="3370ff"/>
      </w:rPr>
    </w:lvl>
  </w:abstractNum>
  <w:abstractNum w:abstractNumId="14964924">
    <w:lvl>
      <w:numFmt w:val="bullet"/>
      <w:suff w:val="tab"/>
      <w:lvlText w:val="•"/>
      <w:rPr>
        <w:color w:val="3370ff"/>
      </w:rPr>
    </w:lvl>
  </w:abstractNum>
  <w:abstractNum w:abstractNumId="14964925">
    <w:lvl>
      <w:numFmt w:val="bullet"/>
      <w:suff w:val="tab"/>
      <w:lvlText w:val="•"/>
      <w:rPr>
        <w:color w:val="3370ff"/>
      </w:rPr>
    </w:lvl>
  </w:abstractNum>
  <w:num w:numId="1">
    <w:abstractNumId w:val="14964912"/>
  </w:num>
  <w:num w:numId="2">
    <w:abstractNumId w:val="14964913"/>
  </w:num>
  <w:num w:numId="3">
    <w:abstractNumId w:val="14964914"/>
  </w:num>
  <w:num w:numId="4">
    <w:abstractNumId w:val="14964915"/>
  </w:num>
  <w:num w:numId="5">
    <w:abstractNumId w:val="14964916"/>
  </w:num>
  <w:num w:numId="6">
    <w:abstractNumId w:val="14964917"/>
  </w:num>
  <w:num w:numId="7">
    <w:abstractNumId w:val="14964918"/>
  </w:num>
  <w:num w:numId="8">
    <w:abstractNumId w:val="14964919"/>
  </w:num>
  <w:num w:numId="9">
    <w:abstractNumId w:val="14964920"/>
  </w:num>
  <w:num w:numId="10">
    <w:abstractNumId w:val="14964921"/>
  </w:num>
  <w:num w:numId="11">
    <w:abstractNumId w:val="14964922"/>
  </w:num>
  <w:num w:numId="12">
    <w:abstractNumId w:val="14964923"/>
  </w:num>
  <w:num w:numId="13">
    <w:abstractNumId w:val="14964924"/>
  </w:num>
  <w:num w:numId="14">
    <w:abstractNumId w:val="1496492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2026-03-24T08:42:31Z</dcterms:created>
  <dc:creator>Apache POI</dc:creator>
</cp:coreProperties>
</file>