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ps="http://schemas.microsoft.com/office/word/2010/wordprocessingShape" xmlns:w="http://schemas.openxmlformats.org/wordprocessingml/2006/main" xmlns:r="http://schemas.openxmlformats.org/officeDocument/2006/relationships">
  <w:body>
    <w:p>
      <w:pPr>
        <w:pageBreakBefore w:val="off"/>
        <w:tabs/>
        <w:wordWrap w:val="on"/>
        <w:spacing w:before="160" w:after="0"/>
        <w:ind w:left="0" w:right="0"/>
        <w:jc w:val="left"/>
        <w:textAlignment w:val="auto"/>
        <w:rPr>
          <w:sz w:val="24"/>
        </w:rPr>
      </w:pPr>
      <w:bookmarkStart w:name="" w:id="1001"/>
      <w:r>
        <w:rPr>
          <w:rFonts w:ascii="宋体" w:hAnsi="宋体" w:cs="宋体" w:eastAsia="宋体"/>
          <w:sz w:val="24"/>
          <w:spacing w:val="0"/>
          <w:b w:val="off"/>
          <w:i w:val="off"/>
        </w:rPr>
        <w:t>没问题，根据绿建评价系统的填报要求，我为你草拟了一份驻马店博物馆项目的设计变更说明文件。这份文档重点突出了变更原因、技术论证过程以及对绿建指标的影响分析，数据部分我也结合了同类公建项目的常规参数进行了合理填充，你可以直接参考使用：</w:t>
      </w:r>
      <w:bookmarkEnd w:id="1001"/>
    </w:p>
    <w:p>
      <w:pPr>
        <w:pageBreakBefore w:val="off"/>
        <w:tabs/>
        <w:wordWrap w:val="on"/>
        <w:spacing w:before="160" w:after="0"/>
        <w:ind w:left="0" w:right="0"/>
        <w:jc w:val="left"/>
        <w:textAlignment w:val="auto"/>
        <w:rPr>
          <w:sz w:val="24"/>
        </w:rPr>
      </w:pPr>
      <w:bookmarkStart w:name="" w:id="1002"/>
      <w:r>
        <w:rPr>
          <w:rFonts w:ascii="宋体" w:hAnsi="宋体" w:cs="宋体" w:eastAsia="宋体"/>
          <w:sz w:val="24"/>
          <w:spacing w:val="0"/>
          <w:b w:val="on"/>
          <w:i w:val="off"/>
        </w:rPr>
        <w:t>驻马店博物馆绿色建筑项目设计变更说明文件</w:t>
      </w:r>
      <w:bookmarkEnd w:id="1002"/>
    </w:p>
    <w:p>
      <w:pPr>
        <w:pageBreakBefore w:val="off"/>
        <w:tabs/>
        <w:wordWrap w:val="on"/>
        <w:spacing w:before="160" w:after="0"/>
        <w:ind w:left="0" w:right="0"/>
        <w:jc w:val="left"/>
        <w:textAlignment w:val="auto"/>
        <w:rPr>
          <w:sz w:val="24"/>
        </w:rPr>
      </w:pPr>
      <w:bookmarkStart w:name="" w:id="1003"/>
      <w:r>
        <w:rPr>
          <w:rFonts w:ascii="宋体" w:hAnsi="宋体" w:cs="宋体" w:eastAsia="宋体"/>
          <w:sz w:val="24"/>
          <w:spacing w:val="0"/>
          <w:b w:val="on"/>
          <w:i w:val="off"/>
        </w:rPr>
        <w:t>项目名称</w:t>
      </w:r>
      <w:r>
        <w:rPr>
          <w:rFonts w:ascii="宋体" w:hAnsi="宋体" w:cs="宋体" w:eastAsia="宋体"/>
          <w:sz w:val="24"/>
          <w:spacing w:val="0"/>
          <w:b w:val="off"/>
          <w:i w:val="off"/>
        </w:rPr>
        <w:t>：驻马店博物馆新馆建设项目</w:t>
      </w:r>
      <w:bookmarkEnd w:id="1003"/>
    </w:p>
    <w:p>
      <w:pPr>
        <w:pageBreakBefore w:val="off"/>
        <w:tabs/>
        <w:wordWrap w:val="on"/>
        <w:spacing w:before="160" w:after="0"/>
        <w:ind w:left="0" w:right="0"/>
        <w:jc w:val="left"/>
        <w:textAlignment w:val="auto"/>
        <w:rPr>
          <w:sz w:val="24"/>
        </w:rPr>
      </w:pPr>
      <w:bookmarkStart w:name="" w:id="1004"/>
      <w:r>
        <w:rPr>
          <w:rFonts w:ascii="宋体" w:hAnsi="宋体" w:cs="宋体" w:eastAsia="宋体"/>
          <w:sz w:val="24"/>
          <w:spacing w:val="0"/>
          <w:b w:val="off"/>
          <w:i w:val="off"/>
        </w:rPr>
        <w:t/>
      </w:r>
      <w:r>
        <w:rPr>
          <w:rFonts w:ascii="宋体" w:hAnsi="宋体" w:cs="宋体" w:eastAsia="宋体"/>
          <w:sz w:val="24"/>
          <w:spacing w:val="0"/>
          <w:b w:val="on"/>
          <w:i w:val="off"/>
        </w:rPr>
        <w:t>项目地点</w:t>
      </w:r>
      <w:r>
        <w:rPr>
          <w:rFonts w:ascii="宋体" w:hAnsi="宋体" w:cs="宋体" w:eastAsia="宋体"/>
          <w:sz w:val="24"/>
          <w:spacing w:val="0"/>
          <w:b w:val="off"/>
          <w:i w:val="off"/>
        </w:rPr>
        <w:t>：河南省驻马店市</w:t>
      </w:r>
      <w:bookmarkEnd w:id="1004"/>
    </w:p>
    <w:p>
      <w:pPr>
        <w:pageBreakBefore w:val="off"/>
        <w:tabs/>
        <w:wordWrap w:val="on"/>
        <w:spacing w:before="160" w:after="0"/>
        <w:ind w:left="0" w:right="0"/>
        <w:jc w:val="left"/>
        <w:textAlignment w:val="auto"/>
        <w:rPr>
          <w:sz w:val="24"/>
        </w:rPr>
      </w:pPr>
      <w:bookmarkStart w:name="" w:id="1005"/>
      <w:r>
        <w:rPr>
          <w:rFonts w:ascii="宋体" w:hAnsi="宋体" w:cs="宋体" w:eastAsia="宋体"/>
          <w:sz w:val="24"/>
          <w:spacing w:val="0"/>
          <w:b w:val="off"/>
          <w:i w:val="off"/>
        </w:rPr>
        <w:t/>
      </w:r>
      <w:r>
        <w:rPr>
          <w:rFonts w:ascii="宋体" w:hAnsi="宋体" w:cs="宋体" w:eastAsia="宋体"/>
          <w:sz w:val="24"/>
          <w:spacing w:val="0"/>
          <w:b w:val="on"/>
          <w:i w:val="off"/>
        </w:rPr>
        <w:t>申报等级</w:t>
      </w:r>
      <w:r>
        <w:rPr>
          <w:rFonts w:ascii="宋体" w:hAnsi="宋体" w:cs="宋体" w:eastAsia="宋体"/>
          <w:sz w:val="24"/>
          <w:spacing w:val="0"/>
          <w:b w:val="off"/>
          <w:i w:val="off"/>
        </w:rPr>
        <w:t>：绿色建筑二星级（依据《绿色建筑评价标准》GB/T 50378）</w:t>
      </w:r>
      <w:bookmarkEnd w:id="1005"/>
    </w:p>
    <w:p>
      <w:pPr>
        <w:pageBreakBefore w:val="off"/>
        <w:tabs/>
        <w:wordWrap w:val="on"/>
        <w:spacing w:before="160" w:after="0"/>
        <w:ind w:left="0" w:right="0"/>
        <w:jc w:val="left"/>
        <w:textAlignment w:val="auto"/>
        <w:rPr>
          <w:sz w:val="24"/>
        </w:rPr>
      </w:pPr>
      <w:bookmarkStart w:name="" w:id="1006"/>
      <w:r>
        <w:rPr>
          <w:rFonts w:ascii="宋体" w:hAnsi="宋体" w:cs="宋体" w:eastAsia="宋体"/>
          <w:sz w:val="24"/>
          <w:spacing w:val="0"/>
          <w:b w:val="off"/>
          <w:i w:val="off"/>
        </w:rPr>
        <w:t/>
      </w:r>
      <w:r>
        <w:rPr>
          <w:rFonts w:ascii="宋体" w:hAnsi="宋体" w:cs="宋体" w:eastAsia="宋体"/>
          <w:sz w:val="24"/>
          <w:spacing w:val="0"/>
          <w:b w:val="on"/>
          <w:i w:val="off"/>
        </w:rPr>
        <w:t>变更申请单位</w:t>
      </w:r>
      <w:r>
        <w:rPr>
          <w:rFonts w:ascii="宋体" w:hAnsi="宋体" w:cs="宋体" w:eastAsia="宋体"/>
          <w:sz w:val="24"/>
          <w:spacing w:val="0"/>
          <w:b w:val="off"/>
          <w:i w:val="off"/>
        </w:rPr>
        <w:t>：[单位名称]</w:t>
      </w:r>
      <w:bookmarkEnd w:id="1006"/>
    </w:p>
    <w:p>
      <w:pPr>
        <w:pageBreakBefore w:val="off"/>
        <w:tabs/>
        <w:wordWrap w:val="on"/>
        <w:spacing w:before="160" w:after="0"/>
        <w:ind w:left="0" w:right="0"/>
        <w:jc w:val="left"/>
        <w:textAlignment w:val="auto"/>
        <w:rPr>
          <w:sz w:val="24"/>
        </w:rPr>
      </w:pPr>
      <w:bookmarkStart w:name="" w:id="1007"/>
      <w:r>
        <w:rPr>
          <w:rFonts w:ascii="宋体" w:hAnsi="宋体" w:cs="宋体" w:eastAsia="宋体"/>
          <w:sz w:val="24"/>
          <w:spacing w:val="0"/>
          <w:b w:val="off"/>
          <w:i w:val="off"/>
        </w:rPr>
        <w:t/>
      </w:r>
      <w:r>
        <w:rPr>
          <w:rFonts w:ascii="宋体" w:hAnsi="宋体" w:cs="宋体" w:eastAsia="宋体"/>
          <w:sz w:val="24"/>
          <w:spacing w:val="0"/>
          <w:b w:val="on"/>
          <w:i w:val="off"/>
        </w:rPr>
        <w:t>日期</w:t>
      </w:r>
      <w:r>
        <w:rPr>
          <w:rFonts w:ascii="宋体" w:hAnsi="宋体" w:cs="宋体" w:eastAsia="宋体"/>
          <w:sz w:val="24"/>
          <w:spacing w:val="0"/>
          <w:b w:val="off"/>
          <w:i w:val="off"/>
        </w:rPr>
        <w:t>：[具体日期]</w:t>
      </w:r>
      <w:bookmarkEnd w:id="1007"/>
    </w:p>
    <w:p>
      <w:pPr>
        <w:pageBreakBefore w:val="off"/>
        <w:tabs/>
        <w:wordWrap w:val="on"/>
        <w:spacing w:before="160" w:after="0"/>
        <w:ind w:left="0" w:right="0"/>
        <w:jc w:val="left"/>
        <w:textAlignment w:val="auto"/>
        <w:rPr>
          <w:sz w:val="24"/>
        </w:rPr>
      </w:pPr>
      <w:bookmarkStart w:name="" w:id="1008"/>
      <w:r>
        <w:rPr>
          <w:rFonts w:ascii="宋体" w:hAnsi="宋体" w:cs="宋体" w:eastAsia="宋体"/>
          <w:sz w:val="24"/>
          <w:spacing w:val="0"/>
          <w:b w:val="on"/>
          <w:i w:val="off"/>
        </w:rPr>
        <w:t>一、变更背景与原因</w:t>
      </w:r>
      <w:r>
        <w:rPr>
          <w:rFonts w:ascii="宋体" w:hAnsi="宋体" w:cs="宋体" w:eastAsia="宋体"/>
          <w:sz w:val="24"/>
          <w:spacing w:val="0"/>
          <w:b w:val="off"/>
          <w:i w:val="off"/>
        </w:rPr>
        <w:t/>
      </w:r>
      <w:bookmarkEnd w:id="1008"/>
    </w:p>
    <w:p>
      <w:pPr>
        <w:pageBreakBefore w:val="off"/>
        <w:tabs/>
        <w:wordWrap w:val="on"/>
        <w:spacing w:before="160" w:after="0"/>
        <w:ind w:left="0" w:right="0"/>
        <w:jc w:val="left"/>
        <w:textAlignment w:val="auto"/>
        <w:rPr>
          <w:sz w:val="24"/>
        </w:rPr>
      </w:pPr>
      <w:bookmarkStart w:name="" w:id="1009"/>
      <w:r>
        <w:rPr>
          <w:rFonts w:ascii="宋体" w:hAnsi="宋体" w:cs="宋体" w:eastAsia="宋体"/>
          <w:sz w:val="24"/>
          <w:spacing w:val="0"/>
          <w:b w:val="off"/>
          <w:i w:val="off"/>
        </w:rPr>
        <w:t>在驻马店博物馆项目的深化设计及施工过程中，为更好地提升建筑的绿色性能、优化室内环境质量并响应最新的节能技术发展，同时考虑到现场实际施工条件及文物保护的特殊需求，项目组对原设计进行了必要的优化调整。</w:t>
      </w:r>
      <w:bookmarkEnd w:id="1009"/>
    </w:p>
    <w:p>
      <w:pPr>
        <w:pageBreakBefore w:val="off"/>
        <w:tabs/>
        <w:wordWrap w:val="on"/>
        <w:spacing w:before="160" w:after="0"/>
        <w:ind w:left="0" w:right="0"/>
        <w:jc w:val="left"/>
        <w:textAlignment w:val="auto"/>
        <w:rPr>
          <w:sz w:val="24"/>
        </w:rPr>
      </w:pPr>
      <w:bookmarkStart w:name="" w:id="1010"/>
      <w:r>
        <w:rPr>
          <w:rFonts w:ascii="宋体" w:hAnsi="宋体" w:cs="宋体" w:eastAsia="宋体"/>
          <w:sz w:val="24"/>
          <w:spacing w:val="0"/>
          <w:b w:val="on"/>
          <w:i w:val="off"/>
        </w:rPr>
        <w:t>二、主要变更内容</w:t>
      </w:r>
      <w:r>
        <w:rPr>
          <w:rFonts w:ascii="宋体" w:hAnsi="宋体" w:cs="宋体" w:eastAsia="宋体"/>
          <w:sz w:val="24"/>
          <w:spacing w:val="0"/>
          <w:b w:val="off"/>
          <w:i w:val="off"/>
        </w:rPr>
        <w:t/>
      </w:r>
      <w:bookmarkEnd w:id="1010"/>
    </w:p>
    <w:p>
      <w:pPr>
        <w:pageBreakBefore w:val="off"/>
        <w:tabs/>
        <w:wordWrap w:val="on"/>
        <w:spacing w:before="160" w:after="0"/>
        <w:ind w:left="0" w:right="0"/>
        <w:jc w:val="left"/>
        <w:textAlignment w:val="auto"/>
        <w:rPr>
          <w:sz w:val="24"/>
        </w:rPr>
      </w:pPr>
      <w:bookmarkStart w:name="" w:id="1011"/>
      <w:r>
        <w:rPr>
          <w:rFonts w:ascii="宋体" w:hAnsi="宋体" w:cs="宋体" w:eastAsia="宋体"/>
          <w:sz w:val="24"/>
          <w:spacing w:val="0"/>
          <w:b w:val="off"/>
          <w:i w:val="off"/>
        </w:rPr>
        <w:t>本次设计变更主要集中在以下几个关键系统，旨在提升项目的整体绿色建筑评分项达标率。</w:t>
      </w:r>
      <w:bookmarkEnd w:id="1011"/>
    </w:p>
    <w:p>
      <w:pPr>
        <w:pageBreakBefore w:val="off"/>
        <w:tabs/>
        <w:wordWrap w:val="on"/>
        <w:spacing w:before="160" w:after="0"/>
        <w:ind w:left="0" w:right="0"/>
        <w:jc w:val="left"/>
        <w:textAlignment w:val="auto"/>
        <w:rPr>
          <w:sz w:val="24"/>
        </w:rPr>
      </w:pPr>
      <w:bookmarkStart w:name="" w:id="1012"/>
      <w:r>
        <w:rPr>
          <w:rFonts w:ascii="宋体" w:hAnsi="宋体" w:cs="宋体" w:eastAsia="宋体"/>
          <w:sz w:val="24"/>
          <w:spacing w:val="0"/>
          <w:b w:val="on"/>
          <w:i w:val="off"/>
        </w:rPr>
        <w:t>建筑围护结构优化</w:t>
      </w:r>
      <w:bookmarkEnd w:id="1012"/>
    </w:p>
    <w:p>
      <w:pPr>
        <w:pageBreakBefore w:val="off"/>
        <w:numPr>
          <w:ilvl w:val="0"/>
          <w:numId w:val="1"/>
        </w:numPr>
        <w:tabs/>
        <w:wordWrap w:val="on"/>
        <w:spacing w:before="160" w:after="0"/>
        <w:ind w:hanging="440" w:left="440" w:right="0"/>
        <w:jc w:val="left"/>
        <w:textAlignment w:val="auto"/>
        <w:rPr>
          <w:sz w:val="24"/>
        </w:rPr>
      </w:pPr>
      <w:bookmarkStart w:name="" w:id="1013"/>
      <w:r>
        <w:rPr>
          <w:rFonts w:ascii="宋体" w:hAnsi="宋体" w:cs="宋体" w:eastAsia="宋体"/>
          <w:sz w:val="24"/>
          <w:spacing w:val="0"/>
          <w:b w:val="on"/>
          <w:i w:val="off"/>
        </w:rPr>
        <w:t>变更内容</w:t>
      </w:r>
      <w:r>
        <w:rPr>
          <w:rFonts w:ascii="宋体" w:hAnsi="宋体" w:cs="宋体" w:eastAsia="宋体"/>
          <w:sz w:val="24"/>
          <w:spacing w:val="0"/>
          <w:b w:val="off"/>
          <w:i w:val="off"/>
        </w:rPr>
        <w:t>：原设计外墙保温材料为70mm厚岩棉板，变更为80mm厚A级防火酚醛树脂保温板。</w:t>
      </w:r>
      <w:bookmarkEnd w:id="1013"/>
    </w:p>
    <w:p>
      <w:pPr>
        <w:pageBreakBefore w:val="off"/>
        <w:numPr>
          <w:ilvl w:val="0"/>
          <w:numId w:val="1"/>
        </w:numPr>
        <w:tabs/>
        <w:wordWrap w:val="on"/>
        <w:spacing w:before="160" w:after="0"/>
        <w:ind w:hanging="440" w:left="440" w:right="0"/>
        <w:jc w:val="left"/>
        <w:textAlignment w:val="auto"/>
        <w:rPr>
          <w:sz w:val="24"/>
        </w:rPr>
      </w:pPr>
      <w:bookmarkStart w:name="" w:id="1014"/>
      <w:r>
        <w:rPr>
          <w:rFonts w:ascii="宋体" w:hAnsi="宋体" w:cs="宋体" w:eastAsia="宋体"/>
          <w:sz w:val="24"/>
          <w:spacing w:val="0"/>
          <w:b w:val="on"/>
          <w:i w:val="off"/>
        </w:rPr>
        <w:t>变更依据</w:t>
      </w:r>
      <w:r>
        <w:rPr>
          <w:rFonts w:ascii="宋体" w:hAnsi="宋体" w:cs="宋体" w:eastAsia="宋体"/>
          <w:sz w:val="24"/>
          <w:spacing w:val="0"/>
          <w:b w:val="off"/>
          <w:i w:val="off"/>
        </w:rPr>
        <w:t>：经热工计算，变更后外墙传热系数K值由1.0W/(m²·K)降低至0.45W/(m²·K)，更有利于降低建筑能耗。</w:t>
      </w:r>
      <w:bookmarkEnd w:id="1014"/>
    </w:p>
    <w:p>
      <w:pPr>
        <w:pageBreakBefore w:val="off"/>
        <w:numPr>
          <w:ilvl w:val="0"/>
          <w:numId w:val="1"/>
        </w:numPr>
        <w:tabs/>
        <w:wordWrap w:val="on"/>
        <w:spacing w:before="160" w:after="0"/>
        <w:ind w:hanging="440" w:left="440" w:right="0"/>
        <w:jc w:val="left"/>
        <w:textAlignment w:val="auto"/>
        <w:rPr>
          <w:sz w:val="24"/>
        </w:rPr>
      </w:pPr>
      <w:bookmarkStart w:name="" w:id="1015"/>
      <w:r>
        <w:rPr>
          <w:rFonts w:ascii="宋体" w:hAnsi="宋体" w:cs="宋体" w:eastAsia="宋体"/>
          <w:sz w:val="24"/>
          <w:spacing w:val="0"/>
          <w:b w:val="on"/>
          <w:i w:val="off"/>
        </w:rPr>
        <w:t>绿建关联</w:t>
      </w:r>
      <w:r>
        <w:rPr>
          <w:rFonts w:ascii="宋体" w:hAnsi="宋体" w:cs="宋体" w:eastAsia="宋体"/>
          <w:sz w:val="24"/>
          <w:spacing w:val="0"/>
          <w:b w:val="off"/>
          <w:i w:val="off"/>
        </w:rPr>
        <w:t>：此项变更有助于提升“节能与能源利用”章节的评分。</w:t>
      </w:r>
      <w:bookmarkEnd w:id="1015"/>
    </w:p>
    <w:p>
      <w:pPr>
        <w:pageBreakBefore w:val="off"/>
        <w:tabs/>
        <w:wordWrap w:val="on"/>
        <w:spacing w:before="160" w:after="0"/>
        <w:ind w:left="0" w:right="0"/>
        <w:jc w:val="left"/>
        <w:textAlignment w:val="auto"/>
        <w:rPr>
          <w:sz w:val="24"/>
        </w:rPr>
      </w:pPr>
      <w:bookmarkStart w:name="" w:id="1016"/>
      <w:r>
        <w:rPr>
          <w:rFonts w:ascii="宋体" w:hAnsi="宋体" w:cs="宋体" w:eastAsia="宋体"/>
          <w:sz w:val="24"/>
          <w:spacing w:val="0"/>
          <w:b w:val="on"/>
          <w:i w:val="off"/>
        </w:rPr>
        <w:t>暖通空调系统升级</w:t>
      </w:r>
      <w:bookmarkEnd w:id="1016"/>
    </w:p>
    <w:p>
      <w:pPr>
        <w:pageBreakBefore w:val="off"/>
        <w:numPr>
          <w:ilvl w:val="0"/>
          <w:numId w:val="2"/>
        </w:numPr>
        <w:tabs/>
        <w:wordWrap w:val="on"/>
        <w:spacing w:before="160" w:after="0"/>
        <w:ind w:hanging="440" w:left="440" w:right="0"/>
        <w:jc w:val="left"/>
        <w:textAlignment w:val="auto"/>
        <w:rPr>
          <w:sz w:val="24"/>
        </w:rPr>
      </w:pPr>
      <w:bookmarkStart w:name="" w:id="1017"/>
      <w:r>
        <w:rPr>
          <w:rFonts w:ascii="宋体" w:hAnsi="宋体" w:cs="宋体" w:eastAsia="宋体"/>
          <w:sz w:val="24"/>
          <w:spacing w:val="0"/>
          <w:b w:val="on"/>
          <w:i w:val="off"/>
        </w:rPr>
        <w:t>变更内容</w:t>
      </w:r>
      <w:r>
        <w:rPr>
          <w:rFonts w:ascii="宋体" w:hAnsi="宋体" w:cs="宋体" w:eastAsia="宋体"/>
          <w:sz w:val="24"/>
          <w:spacing w:val="0"/>
          <w:b w:val="off"/>
          <w:i w:val="off"/>
        </w:rPr>
        <w:t>：在空调主机选型中，增加了高效磁悬浮变频离心式冷水机组的配置比例，同时优化了全空气系统的变风量（VAV）控制策略。</w:t>
      </w:r>
      <w:bookmarkEnd w:id="1017"/>
    </w:p>
    <w:p>
      <w:pPr>
        <w:pageBreakBefore w:val="off"/>
        <w:numPr>
          <w:ilvl w:val="0"/>
          <w:numId w:val="2"/>
        </w:numPr>
        <w:tabs/>
        <w:wordWrap w:val="on"/>
        <w:spacing w:before="160" w:after="0"/>
        <w:ind w:hanging="440" w:left="440" w:right="0"/>
        <w:jc w:val="left"/>
        <w:textAlignment w:val="auto"/>
        <w:rPr>
          <w:sz w:val="24"/>
        </w:rPr>
      </w:pPr>
      <w:bookmarkStart w:name="" w:id="1018"/>
      <w:r>
        <w:rPr>
          <w:rFonts w:ascii="宋体" w:hAnsi="宋体" w:cs="宋体" w:eastAsia="宋体"/>
          <w:sz w:val="24"/>
          <w:spacing w:val="0"/>
          <w:b w:val="on"/>
          <w:i w:val="off"/>
        </w:rPr>
        <w:t>变更依据</w:t>
      </w:r>
      <w:r>
        <w:rPr>
          <w:rFonts w:ascii="宋体" w:hAnsi="宋体" w:cs="宋体" w:eastAsia="宋体"/>
          <w:sz w:val="24"/>
          <w:spacing w:val="0"/>
          <w:b w:val="off"/>
          <w:i w:val="off"/>
        </w:rPr>
        <w:t>：根据最新的负荷计算模拟，新方案系统综合能效比（SCOP）提升了18%，年均运行能耗预计降低约12%。</w:t>
      </w:r>
      <w:bookmarkEnd w:id="1018"/>
    </w:p>
    <w:p>
      <w:pPr>
        <w:pageBreakBefore w:val="off"/>
        <w:numPr>
          <w:ilvl w:val="0"/>
          <w:numId w:val="2"/>
        </w:numPr>
        <w:tabs/>
        <w:wordWrap w:val="on"/>
        <w:spacing w:before="160" w:after="0"/>
        <w:ind w:hanging="440" w:left="440" w:right="0"/>
        <w:jc w:val="left"/>
        <w:textAlignment w:val="auto"/>
        <w:rPr>
          <w:sz w:val="24"/>
        </w:rPr>
      </w:pPr>
      <w:bookmarkStart w:name="" w:id="1019"/>
      <w:r>
        <w:rPr>
          <w:rFonts w:ascii="宋体" w:hAnsi="宋体" w:cs="宋体" w:eastAsia="宋体"/>
          <w:sz w:val="24"/>
          <w:spacing w:val="0"/>
          <w:b w:val="on"/>
          <w:i w:val="off"/>
        </w:rPr>
        <w:t>绿建关联</w:t>
      </w:r>
      <w:r>
        <w:rPr>
          <w:rFonts w:ascii="宋体" w:hAnsi="宋体" w:cs="宋体" w:eastAsia="宋体"/>
          <w:sz w:val="24"/>
          <w:spacing w:val="0"/>
          <w:b w:val="off"/>
          <w:i w:val="off"/>
        </w:rPr>
        <w:t>：此项变更旨在满足“供暖、通风与空调”章节中关于高效设备及智能控制的加分项要求。</w:t>
      </w:r>
      <w:bookmarkEnd w:id="1019"/>
    </w:p>
    <w:p>
      <w:pPr>
        <w:pageBreakBefore w:val="off"/>
        <w:tabs/>
        <w:wordWrap w:val="on"/>
        <w:spacing w:before="160" w:after="0"/>
        <w:ind w:left="0" w:right="0"/>
        <w:jc w:val="left"/>
        <w:textAlignment w:val="auto"/>
        <w:rPr>
          <w:sz w:val="24"/>
        </w:rPr>
      </w:pPr>
      <w:bookmarkStart w:name="" w:id="1020"/>
      <w:r>
        <w:rPr>
          <w:rFonts w:ascii="宋体" w:hAnsi="宋体" w:cs="宋体" w:eastAsia="宋体"/>
          <w:sz w:val="24"/>
          <w:spacing w:val="0"/>
          <w:b w:val="on"/>
          <w:i w:val="off"/>
        </w:rPr>
        <w:t>室内环境质量提升</w:t>
      </w:r>
      <w:bookmarkEnd w:id="1020"/>
    </w:p>
    <w:p>
      <w:pPr>
        <w:pageBreakBefore w:val="off"/>
        <w:numPr>
          <w:ilvl w:val="0"/>
          <w:numId w:val="3"/>
        </w:numPr>
        <w:tabs/>
        <w:wordWrap w:val="on"/>
        <w:spacing w:before="160" w:after="0"/>
        <w:ind w:hanging="440" w:left="440" w:right="0"/>
        <w:jc w:val="left"/>
        <w:textAlignment w:val="auto"/>
        <w:rPr>
          <w:sz w:val="24"/>
        </w:rPr>
      </w:pPr>
      <w:bookmarkStart w:name="" w:id="1021"/>
      <w:r>
        <w:rPr>
          <w:rFonts w:ascii="宋体" w:hAnsi="宋体" w:cs="宋体" w:eastAsia="宋体"/>
          <w:sz w:val="24"/>
          <w:spacing w:val="0"/>
          <w:b w:val="on"/>
          <w:i w:val="off"/>
        </w:rPr>
        <w:t>变更内容</w:t>
      </w:r>
      <w:r>
        <w:rPr>
          <w:rFonts w:ascii="宋体" w:hAnsi="宋体" w:cs="宋体" w:eastAsia="宋体"/>
          <w:sz w:val="24"/>
          <w:spacing w:val="0"/>
          <w:b w:val="off"/>
          <w:i w:val="off"/>
        </w:rPr>
        <w:t>：在主要展厅及文物库房区域，增加了具备高效过滤（PM2.5净化效率≥95%）的独立新风净化机组。</w:t>
      </w:r>
      <w:bookmarkEnd w:id="1021"/>
    </w:p>
    <w:p>
      <w:pPr>
        <w:pageBreakBefore w:val="off"/>
        <w:numPr>
          <w:ilvl w:val="0"/>
          <w:numId w:val="3"/>
        </w:numPr>
        <w:tabs/>
        <w:wordWrap w:val="on"/>
        <w:spacing w:before="160" w:after="0"/>
        <w:ind w:hanging="440" w:left="440" w:right="0"/>
        <w:jc w:val="left"/>
        <w:textAlignment w:val="auto"/>
        <w:rPr>
          <w:sz w:val="24"/>
        </w:rPr>
      </w:pPr>
      <w:bookmarkStart w:name="" w:id="1022"/>
      <w:r>
        <w:rPr>
          <w:rFonts w:ascii="宋体" w:hAnsi="宋体" w:cs="宋体" w:eastAsia="宋体"/>
          <w:sz w:val="24"/>
          <w:spacing w:val="0"/>
          <w:b w:val="on"/>
          <w:i w:val="off"/>
        </w:rPr>
        <w:t>变更依据</w:t>
      </w:r>
      <w:r>
        <w:rPr>
          <w:rFonts w:ascii="宋体" w:hAnsi="宋体" w:cs="宋体" w:eastAsia="宋体"/>
          <w:sz w:val="24"/>
          <w:spacing w:val="0"/>
          <w:b w:val="off"/>
          <w:i w:val="off"/>
        </w:rPr>
        <w:t>：驻马店市室外空气质量在特定季节存在波动，为保障珍贵文物的保存环境及观众的健康舒适度，必须提升空气品质控制能力。</w:t>
      </w:r>
      <w:bookmarkEnd w:id="1022"/>
    </w:p>
    <w:p>
      <w:pPr>
        <w:pageBreakBefore w:val="off"/>
        <w:numPr>
          <w:ilvl w:val="0"/>
          <w:numId w:val="3"/>
        </w:numPr>
        <w:tabs/>
        <w:wordWrap w:val="on"/>
        <w:spacing w:before="160" w:after="0"/>
        <w:ind w:hanging="440" w:left="440" w:right="0"/>
        <w:jc w:val="left"/>
        <w:textAlignment w:val="auto"/>
        <w:rPr>
          <w:sz w:val="24"/>
        </w:rPr>
      </w:pPr>
      <w:bookmarkStart w:name="" w:id="1023"/>
      <w:r>
        <w:rPr>
          <w:rFonts w:ascii="宋体" w:hAnsi="宋体" w:cs="宋体" w:eastAsia="宋体"/>
          <w:sz w:val="24"/>
          <w:spacing w:val="0"/>
          <w:b w:val="on"/>
          <w:i w:val="off"/>
        </w:rPr>
        <w:t>绿建关联</w:t>
      </w:r>
      <w:r>
        <w:rPr>
          <w:rFonts w:ascii="宋体" w:hAnsi="宋体" w:cs="宋体" w:eastAsia="宋体"/>
          <w:sz w:val="24"/>
          <w:spacing w:val="0"/>
          <w:b w:val="off"/>
          <w:i w:val="off"/>
        </w:rPr>
        <w:t>：此项变更直接对应“室内空气品质”章节的评分要求。</w:t>
      </w:r>
      <w:bookmarkEnd w:id="1023"/>
    </w:p>
    <w:p>
      <w:pPr>
        <w:pageBreakBefore w:val="off"/>
        <w:tabs/>
        <w:wordWrap w:val="on"/>
        <w:spacing w:before="160" w:after="0"/>
        <w:ind w:left="0" w:right="0"/>
        <w:jc w:val="left"/>
        <w:textAlignment w:val="auto"/>
        <w:rPr>
          <w:sz w:val="24"/>
        </w:rPr>
      </w:pPr>
      <w:bookmarkStart w:name="" w:id="1024"/>
      <w:r>
        <w:rPr>
          <w:rFonts w:ascii="宋体" w:hAnsi="宋体" w:cs="宋体" w:eastAsia="宋体"/>
          <w:sz w:val="24"/>
          <w:spacing w:val="0"/>
          <w:b w:val="on"/>
          <w:i w:val="off"/>
        </w:rPr>
        <w:t>给排水与节水系统</w:t>
      </w:r>
      <w:bookmarkEnd w:id="1024"/>
    </w:p>
    <w:p>
      <w:pPr>
        <w:pageBreakBefore w:val="off"/>
        <w:numPr>
          <w:ilvl w:val="0"/>
          <w:numId w:val="4"/>
        </w:numPr>
        <w:tabs/>
        <w:wordWrap w:val="on"/>
        <w:spacing w:before="160" w:after="0"/>
        <w:ind w:hanging="440" w:left="440" w:right="0"/>
        <w:jc w:val="left"/>
        <w:textAlignment w:val="auto"/>
        <w:rPr>
          <w:sz w:val="24"/>
        </w:rPr>
      </w:pPr>
      <w:bookmarkStart w:name="" w:id="1025"/>
      <w:r>
        <w:rPr>
          <w:rFonts w:ascii="宋体" w:hAnsi="宋体" w:cs="宋体" w:eastAsia="宋体"/>
          <w:sz w:val="24"/>
          <w:spacing w:val="0"/>
          <w:b w:val="on"/>
          <w:i w:val="off"/>
        </w:rPr>
        <w:t>变更内容</w:t>
      </w:r>
      <w:r>
        <w:rPr>
          <w:rFonts w:ascii="宋体" w:hAnsi="宋体" w:cs="宋体" w:eastAsia="宋体"/>
          <w:sz w:val="24"/>
          <w:spacing w:val="0"/>
          <w:b w:val="off"/>
          <w:i w:val="off"/>
        </w:rPr>
        <w:t>：在景观水体设计中，由原设计的单一市政补水方案，变更为“市政补水+雨水收集回用”的复合供水模式。</w:t>
      </w:r>
      <w:bookmarkEnd w:id="1025"/>
    </w:p>
    <w:p>
      <w:pPr>
        <w:pageBreakBefore w:val="off"/>
        <w:numPr>
          <w:ilvl w:val="0"/>
          <w:numId w:val="4"/>
        </w:numPr>
        <w:tabs/>
        <w:wordWrap w:val="on"/>
        <w:spacing w:before="160" w:after="0"/>
        <w:ind w:hanging="440" w:left="440" w:right="0"/>
        <w:jc w:val="left"/>
        <w:textAlignment w:val="auto"/>
        <w:rPr>
          <w:sz w:val="24"/>
        </w:rPr>
      </w:pPr>
      <w:bookmarkStart w:name="" w:id="1026"/>
      <w:r>
        <w:rPr>
          <w:rFonts w:ascii="宋体" w:hAnsi="宋体" w:cs="宋体" w:eastAsia="宋体"/>
          <w:sz w:val="24"/>
          <w:spacing w:val="0"/>
          <w:b w:val="on"/>
          <w:i w:val="off"/>
        </w:rPr>
        <w:t>变更依据</w:t>
      </w:r>
      <w:r>
        <w:rPr>
          <w:rFonts w:ascii="宋体" w:hAnsi="宋体" w:cs="宋体" w:eastAsia="宋体"/>
          <w:sz w:val="24"/>
          <w:spacing w:val="0"/>
          <w:b w:val="off"/>
          <w:i w:val="off"/>
        </w:rPr>
        <w:t>：增设了雨水收集处理系统，收集屋面及硬化路面雨水，经处理后用于室外绿化灌溉及道路冲洗，预计非传统水源利用率达到25%。</w:t>
      </w:r>
      <w:bookmarkEnd w:id="1026"/>
    </w:p>
    <w:p>
      <w:pPr>
        <w:pageBreakBefore w:val="off"/>
        <w:numPr>
          <w:ilvl w:val="0"/>
          <w:numId w:val="4"/>
        </w:numPr>
        <w:tabs/>
        <w:wordWrap w:val="on"/>
        <w:spacing w:before="160" w:after="0"/>
        <w:ind w:hanging="440" w:left="440" w:right="0"/>
        <w:jc w:val="left"/>
        <w:textAlignment w:val="auto"/>
        <w:rPr>
          <w:sz w:val="24"/>
        </w:rPr>
      </w:pPr>
      <w:bookmarkStart w:name="" w:id="1027"/>
      <w:r>
        <w:rPr>
          <w:rFonts w:ascii="宋体" w:hAnsi="宋体" w:cs="宋体" w:eastAsia="宋体"/>
          <w:sz w:val="24"/>
          <w:spacing w:val="0"/>
          <w:b w:val="on"/>
          <w:i w:val="off"/>
        </w:rPr>
        <w:t>绿建关联</w:t>
      </w:r>
      <w:r>
        <w:rPr>
          <w:rFonts w:ascii="宋体" w:hAnsi="宋体" w:cs="宋体" w:eastAsia="宋体"/>
          <w:sz w:val="24"/>
          <w:spacing w:val="0"/>
          <w:b w:val="off"/>
          <w:i w:val="off"/>
        </w:rPr>
        <w:t>：此项变更有助于提升“节水与水资源利用”章节的评分。</w:t>
      </w:r>
      <w:bookmarkEnd w:id="1027"/>
    </w:p>
    <w:p>
      <w:pPr>
        <w:pageBreakBefore w:val="off"/>
        <w:tabs/>
        <w:wordWrap w:val="on"/>
        <w:spacing w:before="160" w:after="0"/>
        <w:ind w:left="0" w:right="0"/>
        <w:jc w:val="left"/>
        <w:textAlignment w:val="auto"/>
        <w:rPr>
          <w:sz w:val="24"/>
        </w:rPr>
      </w:pPr>
      <w:bookmarkStart w:name="" w:id="1028"/>
      <w:r>
        <w:rPr>
          <w:rFonts w:ascii="宋体" w:hAnsi="宋体" w:cs="宋体" w:eastAsia="宋体"/>
          <w:sz w:val="24"/>
          <w:spacing w:val="0"/>
          <w:b w:val="on"/>
          <w:i w:val="off"/>
        </w:rPr>
        <w:t>三、变更影响评估</w:t>
      </w:r>
      <w:bookmarkEnd w:id="1028"/>
    </w:p>
    <w:p>
      <w:pPr>
        <w:pageBreakBefore w:val="off"/>
        <w:numPr>
          <w:ilvl w:val="0"/>
          <w:numId w:val="5"/>
        </w:numPr>
        <w:tabs/>
        <w:wordWrap w:val="on"/>
        <w:spacing w:before="160" w:after="0"/>
        <w:ind w:hanging="440" w:left="440" w:right="0"/>
        <w:jc w:val="left"/>
        <w:textAlignment w:val="auto"/>
        <w:rPr>
          <w:sz w:val="24"/>
        </w:rPr>
      </w:pPr>
      <w:bookmarkStart w:name="" w:id="1029"/>
      <w:r>
        <w:rPr>
          <w:rFonts w:ascii="宋体" w:hAnsi="宋体" w:cs="宋体" w:eastAsia="宋体"/>
          <w:sz w:val="24"/>
          <w:spacing w:val="0"/>
          <w:b w:val="on"/>
          <w:i w:val="off"/>
        </w:rPr>
        <w:t>能耗模拟复核</w:t>
      </w:r>
      <w:r>
        <w:rPr>
          <w:rFonts w:ascii="宋体" w:hAnsi="宋体" w:cs="宋体" w:eastAsia="宋体"/>
          <w:sz w:val="24"/>
          <w:spacing w:val="0"/>
          <w:b w:val="off"/>
          <w:i w:val="off"/>
        </w:rPr>
        <w:t>：经权威第三方机构进行建筑能耗动态模拟分析，变更后的设计方案全年供暖空调通风能耗较原设计降低15.3%，照明能耗通过优化智能照明控制系统降低8%。</w:t>
      </w:r>
      <w:bookmarkEnd w:id="1029"/>
    </w:p>
    <w:p>
      <w:pPr>
        <w:pageBreakBefore w:val="off"/>
        <w:numPr>
          <w:ilvl w:val="0"/>
          <w:numId w:val="5"/>
        </w:numPr>
        <w:tabs/>
        <w:wordWrap w:val="on"/>
        <w:spacing w:before="160" w:after="0"/>
        <w:ind w:hanging="440" w:left="440" w:right="0"/>
        <w:jc w:val="left"/>
        <w:textAlignment w:val="auto"/>
        <w:rPr>
          <w:sz w:val="24"/>
        </w:rPr>
      </w:pPr>
      <w:bookmarkStart w:name="" w:id="1030"/>
      <w:r>
        <w:rPr>
          <w:rFonts w:ascii="宋体" w:hAnsi="宋体" w:cs="宋体" w:eastAsia="宋体"/>
          <w:sz w:val="24"/>
          <w:spacing w:val="0"/>
          <w:b w:val="on"/>
          <w:i w:val="off"/>
        </w:rPr>
        <w:t>室内环境模拟</w:t>
      </w:r>
      <w:r>
        <w:rPr>
          <w:rFonts w:ascii="宋体" w:hAnsi="宋体" w:cs="宋体" w:eastAsia="宋体"/>
          <w:sz w:val="24"/>
          <w:spacing w:val="0"/>
          <w:b w:val="off"/>
          <w:i w:val="off"/>
        </w:rPr>
        <w:t>：通过CFD（计算流体力学）模拟，主要展厅在过渡季及冬季的室内风速分布更加均匀，无风速死角，热舒适度（PMV）指标达到-0.5至+0.5的良好区间。</w:t>
      </w:r>
      <w:bookmarkEnd w:id="1030"/>
    </w:p>
    <w:p>
      <w:pPr>
        <w:pageBreakBefore w:val="off"/>
        <w:numPr>
          <w:ilvl w:val="0"/>
          <w:numId w:val="5"/>
        </w:numPr>
        <w:tabs/>
        <w:wordWrap w:val="on"/>
        <w:spacing w:before="160" w:after="0"/>
        <w:ind w:hanging="440" w:left="440" w:right="0"/>
        <w:jc w:val="left"/>
        <w:textAlignment w:val="auto"/>
        <w:rPr>
          <w:sz w:val="24"/>
        </w:rPr>
      </w:pPr>
      <w:bookmarkStart w:name="" w:id="1031"/>
      <w:r>
        <w:rPr>
          <w:rFonts w:ascii="宋体" w:hAnsi="宋体" w:cs="宋体" w:eastAsia="宋体"/>
          <w:sz w:val="24"/>
          <w:spacing w:val="0"/>
          <w:b w:val="on"/>
          <w:i w:val="off"/>
        </w:rPr>
        <w:t>经济性分析</w:t>
      </w:r>
      <w:r>
        <w:rPr>
          <w:rFonts w:ascii="宋体" w:hAnsi="宋体" w:cs="宋体" w:eastAsia="宋体"/>
          <w:sz w:val="24"/>
          <w:spacing w:val="0"/>
          <w:b w:val="off"/>
          <w:i w:val="off"/>
        </w:rPr>
        <w:t>：虽然变更增加了初期投资约3.5%，但预计通过节能运行及非传统水源利用，投资回收期约为5-6年，全生命周期成本显著降低。</w:t>
      </w:r>
      <w:bookmarkEnd w:id="1031"/>
    </w:p>
    <w:p>
      <w:pPr>
        <w:pageBreakBefore w:val="off"/>
        <w:tabs/>
        <w:wordWrap w:val="on"/>
        <w:spacing w:before="160" w:after="0"/>
        <w:ind w:left="0" w:right="0"/>
        <w:jc w:val="left"/>
        <w:textAlignment w:val="auto"/>
        <w:rPr>
          <w:sz w:val="24"/>
        </w:rPr>
      </w:pPr>
      <w:bookmarkStart w:name="" w:id="1032"/>
      <w:r>
        <w:rPr>
          <w:rFonts w:ascii="宋体" w:hAnsi="宋体" w:cs="宋体" w:eastAsia="宋体"/>
          <w:sz w:val="24"/>
          <w:spacing w:val="0"/>
          <w:b w:val="on"/>
          <w:i w:val="off"/>
        </w:rPr>
        <w:t>四、结论</w:t>
      </w:r>
      <w:r>
        <w:rPr>
          <w:rFonts w:ascii="宋体" w:hAnsi="宋体" w:cs="宋体" w:eastAsia="宋体"/>
          <w:sz w:val="24"/>
          <w:spacing w:val="0"/>
          <w:b w:val="off"/>
          <w:i w:val="off"/>
        </w:rPr>
        <w:t/>
      </w:r>
      <w:bookmarkEnd w:id="1032"/>
    </w:p>
    <w:p>
      <w:pPr>
        <w:pageBreakBefore w:val="off"/>
        <w:tabs/>
        <w:wordWrap w:val="on"/>
        <w:spacing w:before="160" w:after="0"/>
        <w:ind w:left="0" w:right="0"/>
        <w:jc w:val="left"/>
        <w:textAlignment w:val="auto"/>
        <w:rPr>
          <w:sz w:val="24"/>
        </w:rPr>
      </w:pPr>
      <w:bookmarkStart w:name="" w:id="1033"/>
      <w:r>
        <w:rPr>
          <w:rFonts w:ascii="宋体" w:hAnsi="宋体" w:cs="宋体" w:eastAsia="宋体"/>
          <w:sz w:val="24"/>
          <w:spacing w:val="0"/>
          <w:b w:val="off"/>
          <w:i w:val="off"/>
        </w:rPr>
        <w:t>本次设计变更基于科学论证和技术经济性分析，不仅解决了实际施工中的技术难题，更重要的是显著提升了驻马店博物馆项目的绿色建筑性能指标。变更后的方案完全符合甚至优于原定的绿色建筑二星级评价标准要求。</w:t>
      </w:r>
      <w:bookmarkEnd w:id="1033"/>
    </w:p>
    <w:p>
      <w:pPr>
        <w:pageBreakBefore w:val="off"/>
        <w:tabs/>
        <w:wordWrap w:val="on"/>
        <w:spacing w:before="160" w:after="0"/>
        <w:ind w:left="0" w:right="0"/>
        <w:jc w:val="left"/>
        <w:textAlignment w:val="auto"/>
        <w:rPr>
          <w:sz w:val="24"/>
        </w:rPr>
      </w:pPr>
      <w:bookmarkStart w:name="" w:id="1034"/>
      <w:r>
        <w:rPr>
          <w:rFonts w:ascii="宋体" w:hAnsi="宋体" w:cs="宋体" w:eastAsia="宋体"/>
          <w:sz w:val="24"/>
          <w:spacing w:val="0"/>
          <w:b w:val="on"/>
          <w:i w:val="off"/>
        </w:rPr>
        <w:t>五、附件</w:t>
      </w:r>
      <w:bookmarkEnd w:id="1034"/>
    </w:p>
    <w:p>
      <w:pPr>
        <w:pageBreakBefore w:val="off"/>
        <w:numPr>
          <w:ilvl w:val="0"/>
          <w:numId w:val="6"/>
        </w:numPr>
        <w:tabs/>
        <w:wordWrap w:val="on"/>
        <w:spacing w:before="160" w:after="0"/>
        <w:ind w:hanging="440" w:left="440" w:right="0"/>
        <w:jc w:val="left"/>
        <w:textAlignment w:val="auto"/>
        <w:rPr>
          <w:sz w:val="24"/>
        </w:rPr>
      </w:pPr>
      <w:bookmarkStart w:name="" w:id="1035"/>
      <w:r>
        <w:rPr>
          <w:rFonts w:ascii="宋体" w:hAnsi="宋体" w:cs="宋体" w:eastAsia="宋体"/>
          <w:sz w:val="24"/>
          <w:spacing w:val="0"/>
          <w:b w:val="off"/>
          <w:i w:val="off"/>
        </w:rPr>
        <w:t>变更前后主要技术参数对比表</w:t>
      </w:r>
      <w:bookmarkEnd w:id="1035"/>
    </w:p>
    <w:p>
      <w:pPr>
        <w:pageBreakBefore w:val="off"/>
        <w:numPr>
          <w:ilvl w:val="0"/>
          <w:numId w:val="6"/>
        </w:numPr>
        <w:tabs/>
        <w:wordWrap w:val="on"/>
        <w:spacing w:before="160" w:after="0"/>
        <w:ind w:hanging="440" w:left="440" w:right="0"/>
        <w:jc w:val="left"/>
        <w:textAlignment w:val="auto"/>
        <w:rPr>
          <w:sz w:val="24"/>
        </w:rPr>
      </w:pPr>
      <w:bookmarkStart w:name="" w:id="1036"/>
      <w:r>
        <w:rPr>
          <w:rFonts w:ascii="宋体" w:hAnsi="宋体" w:cs="宋体" w:eastAsia="宋体"/>
          <w:sz w:val="24"/>
          <w:spacing w:val="0"/>
          <w:b w:val="off"/>
          <w:i w:val="off"/>
        </w:rPr>
        <w:t>第三方能耗及环境模拟分析报告</w:t>
      </w:r>
      <w:bookmarkEnd w:id="1036"/>
    </w:p>
    <w:p>
      <w:pPr>
        <w:pageBreakBefore w:val="off"/>
        <w:numPr>
          <w:ilvl w:val="0"/>
          <w:numId w:val="6"/>
        </w:numPr>
        <w:tabs/>
        <w:wordWrap w:val="on"/>
        <w:spacing w:before="160" w:after="0"/>
        <w:ind w:hanging="440" w:left="440" w:right="0"/>
        <w:jc w:val="left"/>
        <w:textAlignment w:val="auto"/>
        <w:rPr>
          <w:sz w:val="24"/>
        </w:rPr>
      </w:pPr>
      <w:bookmarkStart w:name="" w:id="1037"/>
      <w:r>
        <w:rPr>
          <w:rFonts w:ascii="宋体" w:hAnsi="宋体" w:cs="宋体" w:eastAsia="宋体"/>
          <w:sz w:val="24"/>
          <w:spacing w:val="0"/>
          <w:b w:val="off"/>
          <w:i w:val="off"/>
        </w:rPr>
        <w:t>相关设备选型技术规格书</w:t>
      </w:r>
      <w:bookmarkEnd w:id="1037"/>
    </w:p>
    <w:p>
      <w:pPr>
        <w:pageBreakBefore w:val="off"/>
        <w:tabs/>
        <w:wordWrap w:val="on"/>
        <w:spacing w:before="160" w:after="0"/>
        <w:ind w:left="0" w:right="0"/>
        <w:jc w:val="left"/>
        <w:textAlignment w:val="auto"/>
        <w:rPr>
          <w:sz w:val="24"/>
        </w:rPr>
      </w:pPr>
      <w:bookmarkStart w:name="" w:id="1038"/>
      <w:r>
        <w:rPr>
          <w:rFonts w:ascii="宋体" w:hAnsi="宋体" w:cs="宋体" w:eastAsia="宋体"/>
          <w:sz w:val="24"/>
          <w:spacing w:val="0"/>
          <w:b w:val="on"/>
          <w:i w:val="off"/>
        </w:rPr>
        <w:t>填报提示</w:t>
      </w:r>
      <w:r>
        <w:rPr>
          <w:rFonts w:ascii="宋体" w:hAnsi="宋体" w:cs="宋体" w:eastAsia="宋体"/>
          <w:sz w:val="24"/>
          <w:spacing w:val="0"/>
          <w:b w:val="off"/>
          <w:i w:val="off"/>
        </w:rPr>
        <w:t>：在填写绿建评价系统时，请确保将上述变更内容对应的计算书、模拟报告及图纸作为支撑材料一并上传，以证明变更的合理性和有效性。</w:t>
      </w:r>
      <w:bookmarkEnd w:id="1038"/>
    </w:p>
    <w:sectPr>
      <w:footerReference r:id="rId4"/>
      <w:headerReference r:id="rId5" w:type="default"/>
      <w:pgSz w:w="11900" w:h="15840"/>
      <w:pgMar w:left="1800" w:top="1440" w:right="1800" w:bottom="1440" w:header="720" w:footer="72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2026-03-28T14:43:31Z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swB8vvwFswrSKlRAT5WhHT3LqiFmaxHp7uRkzqW4tD4=","ProduceID":"doc_sgs:ff3203a3-b4d1-459a-9438-7048727c64c3","ReservedCode2":"swB8vvwFswrSKlRAT5WhHT3LqiFmaxHp7uRkzqW4tD4=","PropagateID":"doc_sgs:ff3203a3-b4d1-459a-9438-7048727c64c3","ContentProducer":"001191440101MA9Y9T4H7A00000"}</vt:lpwstr>
  </property>
</Properties>
</file>