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建筑运营管理查验维修记录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一、运营管理记录总说明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项目基础信息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项目名称</w:t>
      </w:r>
      <w:r>
        <w:rPr>
          <w:rFonts w:eastAsia="等线" w:ascii="Arial" w:cs="Arial" w:hAnsi="Arial"/>
          <w:sz w:val="22"/>
        </w:rPr>
        <w:t>：辰光溯昔—基于豫南地区生态的博物馆绿色建筑设计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建设地点</w:t>
      </w:r>
      <w:r>
        <w:rPr>
          <w:rFonts w:eastAsia="等线" w:ascii="Arial" w:cs="Arial" w:hAnsi="Arial"/>
          <w:sz w:val="22"/>
        </w:rPr>
        <w:t>：河南省驻马店市驿城区练江大道与白桥路交叉口西南角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总用地面积</w:t>
      </w:r>
      <w:r>
        <w:rPr>
          <w:rFonts w:eastAsia="等线" w:ascii="Arial" w:cs="Arial" w:hAnsi="Arial"/>
          <w:sz w:val="22"/>
        </w:rPr>
        <w:t>：36612 ㎡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总建筑面积</w:t>
      </w:r>
      <w:r>
        <w:rPr>
          <w:rFonts w:eastAsia="等线" w:ascii="Arial" w:cs="Arial" w:hAnsi="Arial"/>
          <w:sz w:val="22"/>
        </w:rPr>
        <w:t>：18209.2 ㎡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建筑层数</w:t>
      </w:r>
      <w:r>
        <w:rPr>
          <w:rFonts w:eastAsia="等线" w:ascii="Arial" w:cs="Arial" w:hAnsi="Arial"/>
          <w:sz w:val="22"/>
        </w:rPr>
        <w:t>：地上3层，局部设备夹层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运维管理单位</w:t>
      </w:r>
      <w:r>
        <w:rPr>
          <w:rFonts w:eastAsia="等线" w:ascii="Arial" w:cs="Arial" w:hAnsi="Arial"/>
          <w:sz w:val="22"/>
        </w:rPr>
        <w:t>：驻马店市城投物业服务有限公司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运维周期</w:t>
      </w:r>
      <w:r>
        <w:rPr>
          <w:rFonts w:eastAsia="等线" w:ascii="Arial" w:cs="Arial" w:hAnsi="Arial"/>
          <w:sz w:val="22"/>
        </w:rPr>
        <w:t>：2025年11月—2026年3月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记录编号</w:t>
      </w:r>
      <w:r>
        <w:rPr>
          <w:rFonts w:eastAsia="等线" w:ascii="Arial" w:cs="Arial" w:hAnsi="Arial"/>
          <w:sz w:val="22"/>
        </w:rPr>
        <w:t>：YW-GL-2026-012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管理依据与范围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依据《绿色建筑评价标准》（GB/T 50378-2019）、《公共建筑运营管理标准》（GB/T 50365-2018）相关要求，针对本项目</w:t>
      </w:r>
      <w:r>
        <w:rPr>
          <w:rFonts w:eastAsia="等线" w:ascii="Arial" w:cs="Arial" w:hAnsi="Arial"/>
          <w:b w:val="true"/>
          <w:sz w:val="22"/>
        </w:rPr>
        <w:t>主体结构、外墙、屋面、门窗、幕墙、外保温系统</w:t>
      </w:r>
      <w:r>
        <w:rPr>
          <w:rFonts w:eastAsia="等线" w:ascii="Arial" w:cs="Arial" w:hAnsi="Arial"/>
          <w:sz w:val="22"/>
        </w:rPr>
        <w:t>等部位，开展定期安全查验、故障维修整改工作，全程留存台账记录，保障建筑结构承载力、围护结构安全耐久与防护性能持续达标。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" w:id="3"/>
      <w:r>
        <w:rPr>
          <w:rFonts w:eastAsia="等线" w:ascii="Arial" w:cs="Arial" w:hAnsi="Arial"/>
          <w:b w:val="true"/>
          <w:sz w:val="36"/>
        </w:rPr>
        <w:t>二、定期查验管理记录</w:t>
      </w:r>
      <w:bookmarkEnd w:id="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2.1 查验频次与职责分工</w:t>
      </w:r>
      <w:bookmarkEnd w:id="4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主体结构</w:t>
      </w:r>
      <w:r>
        <w:rPr>
          <w:rFonts w:eastAsia="等线" w:ascii="Arial" w:cs="Arial" w:hAnsi="Arial"/>
          <w:sz w:val="22"/>
        </w:rPr>
        <w:t>：每季度全面查验1次，核查承载力、沉降、裂缝、挠度等指标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围护结构（外墙、屋面、幕墙、门窗）</w:t>
      </w:r>
      <w:r>
        <w:rPr>
          <w:rFonts w:eastAsia="等线" w:ascii="Arial" w:cs="Arial" w:hAnsi="Arial"/>
          <w:sz w:val="22"/>
        </w:rPr>
        <w:t>：每月常规查验1次，极端天气后追加专项排查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外保温系统</w:t>
      </w:r>
      <w:r>
        <w:rPr>
          <w:rFonts w:eastAsia="等线" w:ascii="Arial" w:cs="Arial" w:hAnsi="Arial"/>
          <w:sz w:val="22"/>
        </w:rPr>
        <w:t>：每半年专项查验1次，核查固定牢固度、开裂、脱落隐患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责任人</w:t>
      </w:r>
      <w:r>
        <w:rPr>
          <w:rFonts w:eastAsia="等线" w:ascii="Arial" w:cs="Arial" w:hAnsi="Arial"/>
          <w:sz w:val="22"/>
        </w:rPr>
        <w:t>：专职运维工程师2名、安全巡查员3名，持证上岗、定岗定责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2.2 定期查验台账明细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查验日期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查验部位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查验核心内容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查验结果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查验人签字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2025.11.15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主体结构（框架梁、柱、楼板）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结构裂缝、不均匀沉降、挠度变形、承载力完好性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无裂缝、无沉降，构件完好，承载力达标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张健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季度全面查验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2025.12.12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外墙+外保温系统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饰面层开裂、保温层松动、锚固件牢固度、渗水痕迹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面层完整、保温层无松动，无渗漏隐患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李萌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月度常规查验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2026.01.18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屋面系统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防水层破损、排水坡度、排水通畅性、保温层完整性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防水层完好、排水顺畅，无积雪积水、无破损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王浩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冬季防冻专项查验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2026.02.15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建筑幕墙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气密性、水密性、五金件、玻璃、框架变形、密封胶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密封完好、五金紧固，四项性能均达标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赵阳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节前专项排查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2026.03.10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外门窗系统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启闭性能、密封胶条、隔声隔热、边框牢固度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启闭顺畅，局部胶条完好，各项性能达标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孙雪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开春复工查验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" w:id="6"/>
      <w:r>
        <w:rPr>
          <w:rFonts w:eastAsia="等线" w:ascii="Arial" w:cs="Arial" w:hAnsi="Arial"/>
          <w:b w:val="true"/>
          <w:sz w:val="36"/>
        </w:rPr>
        <w:t>三、维修整改管理记录</w:t>
      </w:r>
      <w:bookmarkEnd w:id="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3.1 维修管理原则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针对查验发现的问题，实行“即时登记、限时整改、复核闭环”管理，维修后同步复核结构承载力、围护结构安全耐久性能，确保达标后归档，杜绝安全隐患。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3.2 维修整改台账明细</w:t>
      </w:r>
      <w:bookmarkEnd w:id="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维修日期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维修部位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问题描述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维修方案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维修结果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复核人签字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2025.11.22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外墙窗边密封胶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2处窗边密封胶老化开裂，存在渗漏隐患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铲除老化胶层，重新涂刷耐候硅酮密封胶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密封严实，无渗漏，水密性能达标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李萌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2025.12.25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外门窗密封条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3处门窗密封条破损，气密性下降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更换三元乙丙原装密封条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气密性恢复6级标准，隔声达标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孙雪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2026.01.22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幕墙开启扇合页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1处幕墙合页松动，启闭不畅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紧固不锈钢螺丝，加注机械润滑脂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启闭顺畅，抗风压性能复核达标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赵阳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2026.02.20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屋面排水口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落叶积雪堵塞，局部轻微积水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清理杂物积雪，加装不锈钢过滤网，疏通管道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排水通畅，无积水隐患，防水完好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王浩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2026.03.15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外墙局部锚固件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2处保温层锚固件轻微松动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补装膨胀锚栓，加固保温层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保温层牢固，无脱落风险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吴峰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9" w:id="9"/>
      <w:r>
        <w:rPr>
          <w:rFonts w:eastAsia="等线" w:ascii="Arial" w:cs="Arial" w:hAnsi="Arial"/>
          <w:b w:val="true"/>
          <w:sz w:val="36"/>
        </w:rPr>
        <w:t>四、运营管理保障措施与综合结论</w:t>
      </w:r>
      <w:bookmarkEnd w:id="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4.1 运维保障措施</w:t>
      </w:r>
      <w:bookmarkEnd w:id="10"/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建立专人专职运维机制，所有运维人员持证上岗，定期开展绿建运维、结构安全专项培训；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实行“纸质+电子”双档案管理，查验、维修记录全程留存，附带现场影像资料，可追溯、可核查；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制定突发隐患应急预案，针对围护结构渗漏、保温层脱落、幕墙故障等问题，限时响应整改；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定期复核结构承载力、围护结构耐久及防护性能，确保全周期满足绿建评价标准。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4.2 绿建评价综合结论</w:t>
      </w:r>
      <w:bookmarkEnd w:id="11"/>
    </w:p>
    <w:tbl>
      <w:tblPr>
        <w:tblW w:w="0" w:type="auto"/>
        <w:tblInd w:w="0" w:type="dxa"/>
        <w:tblBorders>
          <w:top w:val="single" w:color="fed4a4"/>
          <w:left w:val="single" w:color="fed4a4"/>
          <w:bottom w:val="single" w:color="fed4a4"/>
          <w:right w:val="single" w:color="fed4a4"/>
          <w:insideH w:val="single" w:color="fed4a4"/>
          <w:insideV w:val="single" w:color="fed4a4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ff5eb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本项目运营期间，定期查验全覆盖、维修整改全闭环，主体结构始终满足承载力及建筑使用功能要求；外墙、屋面、门窗、幕墙、外保温等围护结构安全、耐久、防护性能持续达标，各项查验、维修记录完整规范，完全符合《绿色建筑评价标准》运营管理相关条款要求，运维管理评定为合格。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3658286">
    <w:lvl>
      <w:numFmt w:val="bullet"/>
      <w:suff w:val="tab"/>
      <w:lvlText w:val="•"/>
      <w:rPr>
        <w:color w:val="3370ff"/>
      </w:rPr>
    </w:lvl>
  </w:abstractNum>
  <w:abstractNum w:abstractNumId="3658287">
    <w:lvl>
      <w:numFmt w:val="bullet"/>
      <w:suff w:val="tab"/>
      <w:lvlText w:val="•"/>
      <w:rPr>
        <w:color w:val="3370ff"/>
      </w:rPr>
    </w:lvl>
  </w:abstractNum>
  <w:abstractNum w:abstractNumId="3658288">
    <w:lvl>
      <w:numFmt w:val="bullet"/>
      <w:suff w:val="tab"/>
      <w:lvlText w:val="•"/>
      <w:rPr>
        <w:color w:val="3370ff"/>
      </w:rPr>
    </w:lvl>
  </w:abstractNum>
  <w:abstractNum w:abstractNumId="3658289">
    <w:lvl>
      <w:numFmt w:val="bullet"/>
      <w:suff w:val="tab"/>
      <w:lvlText w:val="•"/>
      <w:rPr>
        <w:color w:val="3370ff"/>
      </w:rPr>
    </w:lvl>
  </w:abstractNum>
  <w:abstractNum w:abstractNumId="3658290">
    <w:lvl>
      <w:numFmt w:val="bullet"/>
      <w:suff w:val="tab"/>
      <w:lvlText w:val="•"/>
      <w:rPr>
        <w:color w:val="3370ff"/>
      </w:rPr>
    </w:lvl>
  </w:abstractNum>
  <w:abstractNum w:abstractNumId="3658291">
    <w:lvl>
      <w:numFmt w:val="bullet"/>
      <w:suff w:val="tab"/>
      <w:lvlText w:val="•"/>
      <w:rPr>
        <w:color w:val="3370ff"/>
      </w:rPr>
    </w:lvl>
  </w:abstractNum>
  <w:abstractNum w:abstractNumId="3658292">
    <w:lvl>
      <w:numFmt w:val="bullet"/>
      <w:suff w:val="tab"/>
      <w:lvlText w:val="•"/>
      <w:rPr>
        <w:color w:val="3370ff"/>
      </w:rPr>
    </w:lvl>
  </w:abstractNum>
  <w:abstractNum w:abstractNumId="3658293">
    <w:lvl>
      <w:numFmt w:val="bullet"/>
      <w:suff w:val="tab"/>
      <w:lvlText w:val="•"/>
      <w:rPr>
        <w:color w:val="3370ff"/>
      </w:rPr>
    </w:lvl>
  </w:abstractNum>
  <w:abstractNum w:abstractNumId="3658294">
    <w:lvl>
      <w:numFmt w:val="bullet"/>
      <w:suff w:val="tab"/>
      <w:lvlText w:val="•"/>
      <w:rPr>
        <w:color w:val="3370ff"/>
      </w:rPr>
    </w:lvl>
  </w:abstractNum>
  <w:abstractNum w:abstractNumId="3658295">
    <w:lvl>
      <w:numFmt w:val="bullet"/>
      <w:suff w:val="tab"/>
      <w:lvlText w:val="•"/>
      <w:rPr>
        <w:color w:val="3370ff"/>
      </w:rPr>
    </w:lvl>
  </w:abstractNum>
  <w:abstractNum w:abstractNumId="3658296">
    <w:lvl>
      <w:numFmt w:val="bullet"/>
      <w:suff w:val="tab"/>
      <w:lvlText w:val="•"/>
      <w:rPr>
        <w:color w:val="3370ff"/>
      </w:rPr>
    </w:lvl>
  </w:abstractNum>
  <w:abstractNum w:abstractNumId="3658297">
    <w:lvl>
      <w:numFmt w:val="bullet"/>
      <w:suff w:val="tab"/>
      <w:lvlText w:val="•"/>
      <w:rPr>
        <w:color w:val="3370ff"/>
      </w:rPr>
    </w:lvl>
  </w:abstractNum>
  <w:abstractNum w:abstractNumId="3658298">
    <w:lvl>
      <w:numFmt w:val="bullet"/>
      <w:suff w:val="tab"/>
      <w:lvlText w:val="•"/>
      <w:rPr>
        <w:color w:val="3370ff"/>
      </w:rPr>
    </w:lvl>
  </w:abstractNum>
  <w:abstractNum w:abstractNumId="3658299">
    <w:lvl>
      <w:numFmt w:val="bullet"/>
      <w:suff w:val="tab"/>
      <w:lvlText w:val="•"/>
      <w:rPr>
        <w:color w:val="3370ff"/>
      </w:rPr>
    </w:lvl>
  </w:abstractNum>
  <w:abstractNum w:abstractNumId="3658300">
    <w:lvl>
      <w:numFmt w:val="bullet"/>
      <w:suff w:val="tab"/>
      <w:lvlText w:val="•"/>
      <w:rPr>
        <w:color w:val="3370ff"/>
      </w:rPr>
    </w:lvl>
  </w:abstractNum>
  <w:abstractNum w:abstractNumId="3658301">
    <w:lvl>
      <w:numFmt w:val="bullet"/>
      <w:suff w:val="tab"/>
      <w:lvlText w:val="•"/>
      <w:rPr>
        <w:color w:val="3370ff"/>
      </w:rPr>
    </w:lvl>
  </w:abstractNum>
  <w:num w:numId="1">
    <w:abstractNumId w:val="3658286"/>
  </w:num>
  <w:num w:numId="2">
    <w:abstractNumId w:val="3658287"/>
  </w:num>
  <w:num w:numId="3">
    <w:abstractNumId w:val="3658288"/>
  </w:num>
  <w:num w:numId="4">
    <w:abstractNumId w:val="3658289"/>
  </w:num>
  <w:num w:numId="5">
    <w:abstractNumId w:val="3658290"/>
  </w:num>
  <w:num w:numId="6">
    <w:abstractNumId w:val="3658291"/>
  </w:num>
  <w:num w:numId="7">
    <w:abstractNumId w:val="3658292"/>
  </w:num>
  <w:num w:numId="8">
    <w:abstractNumId w:val="3658293"/>
  </w:num>
  <w:num w:numId="9">
    <w:abstractNumId w:val="3658294"/>
  </w:num>
  <w:num w:numId="10">
    <w:abstractNumId w:val="3658295"/>
  </w:num>
  <w:num w:numId="11">
    <w:abstractNumId w:val="3658296"/>
  </w:num>
  <w:num w:numId="12">
    <w:abstractNumId w:val="3658297"/>
  </w:num>
  <w:num w:numId="13">
    <w:abstractNumId w:val="3658298"/>
  </w:num>
  <w:num w:numId="14">
    <w:abstractNumId w:val="3658299"/>
  </w:num>
  <w:num w:numId="15">
    <w:abstractNumId w:val="3658300"/>
  </w:num>
  <w:num w:numId="16">
    <w:abstractNumId w:val="3658301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2026-03-23T04:55:18Z</dcterms:created>
  <dc:creator>Apache POI</dc:creator>
</cp:coreProperties>
</file>