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室内空气质量及装修材料管控说明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一、文档基本信息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文档用途</w:t>
      </w:r>
      <w:r>
        <w:rPr>
          <w:rFonts w:ascii="Arial" w:hAnsi="Arial" w:eastAsia="等线" w:cs="Arial"/>
          <w:sz w:val="22"/>
        </w:rPr>
        <w:t>：绿建评价室内空气质量、禁烟管理、装修材料管控专项佐证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：驻马店市城投建设发展有限公司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：河南建科工程质量检测有限公司（CMA认证）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：2026年3月23日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执行标准</w:t>
      </w:r>
      <w:r>
        <w:rPr>
          <w:rFonts w:ascii="Arial" w:hAnsi="Arial" w:eastAsia="等线" w:cs="Arial"/>
          <w:sz w:val="22"/>
        </w:rPr>
        <w:t>：《绿色建筑评价标准》GB/T 50378-2019、《室内空气质量标准》GB/T 18883-2002、《民用建筑工程室内环境污染控制标准》GB 50325-2020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二、室内空气质量污染物检测说明</w:t>
      </w:r>
      <w:bookmarkEnd w:id="1"/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2.1 检测概况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确保室内空气质量达标，本项目委托具备CMA资质的第三方检测机构，对展厅、办公区、接待区、库房等主要功能房间进行室内空气污染物浓度检测，检测点位覆盖建筑各楼层、不同功能区域，检测过程严格遵循国标规范，检测数据真实有效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2.2 检测点位与时间</w:t>
      </w:r>
      <w:bookmarkEnd w:id="3"/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检测点位</w:t>
      </w:r>
      <w:r>
        <w:rPr>
          <w:rFonts w:ascii="Arial" w:hAnsi="Arial" w:eastAsia="等线" w:cs="Arial"/>
          <w:sz w:val="22"/>
        </w:rPr>
        <w:t>：一层主展厅、二层专题展厅、三层办公区、文物库房、主出入口大厅、公共休息区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检测时间</w:t>
      </w:r>
      <w:r>
        <w:rPr>
          <w:rFonts w:ascii="Arial" w:hAnsi="Arial" w:eastAsia="等线" w:cs="Arial"/>
          <w:sz w:val="22"/>
        </w:rPr>
        <w:t>：2026年3月20日（室内装修完成30日后，密闭门窗12h后检测）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检测项目</w:t>
      </w:r>
      <w:r>
        <w:rPr>
          <w:rFonts w:ascii="Arial" w:hAnsi="Arial" w:eastAsia="等线" w:cs="Arial"/>
          <w:sz w:val="22"/>
        </w:rPr>
        <w:t>：氨（NH₃）、甲醛（HCHO）、苯、总挥发性有机物（TVOC）、氡（Rn-222）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2.3 污染物浓度实测结果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检测污染物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18883-2002限值要求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实测浓度范围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实测平均值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甲醛（HCHO）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≤0.10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0.03-0.07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0.05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≤0.11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0.02-0.05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0.03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氨（NH₃）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≤0.20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0.05-0.12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0.08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TVOC（总挥发性有机物）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≤0.60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0.15-0.32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0.23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氡（Rn-222）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≤400 Bq/m³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120-210 Bq/m³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165 Bq/m³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2.4 空气质量结论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经第三方检测，本项目室内空气中氨、甲醛、苯、TVOC、氡等所有污染物实测浓度，均低于《室内空气质量标准》GB/T 18883-2002限值要求，室内空气质量达标，满足绿色建筑评价相关规定。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三、室内及主出入口禁烟管理说明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3.1 禁烟管控措施</w:t>
      </w:r>
      <w:bookmarkEnd w:id="7"/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本项目严格执行全面禁烟规定，</w:t>
      </w:r>
      <w:r>
        <w:rPr>
          <w:rFonts w:ascii="Arial" w:hAnsi="Arial" w:eastAsia="等线" w:cs="Arial"/>
          <w:b/>
          <w:sz w:val="22"/>
        </w:rPr>
        <w:t>建筑室内所有区域（展厅、办公区、库房、走廊、卫生间等）及建筑主出入口10米范围内</w:t>
      </w:r>
      <w:r>
        <w:rPr>
          <w:rFonts w:ascii="Arial" w:hAnsi="Arial" w:eastAsia="等线" w:cs="Arial"/>
          <w:sz w:val="22"/>
        </w:rPr>
        <w:t>全面禁止吸烟，杜绝烟草烟雾污染。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制定专项禁烟管理制度，安排专人负责巡查管控，严禁任何人员在管控区域吸烟，建立违规劝阻台账。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建筑主出入口、大厅、各楼层走廊、电梯口等醒目位置，统一设置标准化禁烟警示标志，明确禁烟要求与违规处罚提示。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3.2 禁烟标志设置明细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设置位置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标志规格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设置数量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设置方式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建筑主出入口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40cm×60cm 立式警示牌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入口两侧醒目位置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一层大厅、展厅入口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30cm×40cm 壁挂警示牌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墙面1.5m高处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各楼层走廊、电梯口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20cm×30cm 壁挂警示牌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走廊转角、电梯厅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办公区、休息区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20cm×30cm 壁挂警示牌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墙面醒目位置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四、装修材料选用、用量及检测报告说明</w:t>
      </w:r>
      <w:bookmarkEnd w:id="9"/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4.1 装修材料选用原则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装修材料全部选用低挥发性、环保达标、符合国标限值的绿色材料，严格控制甲醛、苯、TVOC等污染物释放量，从源头管控室内空气质量；材料进场前均核查出厂合格证、环保检测报告，进场后完成复检，不合格材料严禁使用。</w:t>
      </w:r>
    </w:p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4.2 主要装修材料种类及用量明细</w:t>
      </w:r>
      <w:bookmarkEnd w:id="1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材料类别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环保等级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使用部位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使用总量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环保净味乳胶漆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E0级、十环认证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室内墙面、吊顶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96桶（20kg/桶）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防火木质饰面板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E0级、B1级防火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展厅背景墙、办公区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820㎡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地面材料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全瓷防滑地砖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A类环保石材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展厅、走廊、公共区域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2860㎡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粘结材料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环保瓷砖胶、美缝剂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无甲醛添加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地面铺贴、墙面收口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2860套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吊顶材料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轻钢龙骨+石膏板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环保无醛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室内吊顶、造型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1260㎡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密封材料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中性硅酮密封胶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低VOC、无甲醛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门窗密封、收口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420支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4.3 材料检测报告说明</w:t>
      </w:r>
      <w:bookmarkEnd w:id="12"/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所有装修材料均附带</w:t>
      </w:r>
      <w:r>
        <w:rPr>
          <w:rFonts w:ascii="Arial" w:hAnsi="Arial" w:eastAsia="等线" w:cs="Arial"/>
          <w:b/>
          <w:sz w:val="22"/>
        </w:rPr>
        <w:t>厂家出厂合格证、环保性能检测报告</w:t>
      </w:r>
      <w:r>
        <w:rPr>
          <w:rFonts w:ascii="Arial" w:hAnsi="Arial" w:eastAsia="等线" w:cs="Arial"/>
          <w:sz w:val="22"/>
        </w:rPr>
        <w:t>，明确甲醛、苯、TVOC等污染物释放量符合国标限值。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第三方检测机构对主要装修材料进行抽样复检，出具CMA认证检测报告，报告编号：HN-JK-HJ-2026-047，复检结果全部合格。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材料检测报告、合格证、进场复检记录均整理归档，作为绿建评审佐证材料，可随时查阅。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五、绿建符合性综合结论</w:t>
      </w:r>
      <w:bookmarkEnd w:id="13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本项目室内空气污染物浓度全部符合《室内空气质量标准》GB/T 18883-2002规定；建筑室内及主出入口全面禁烟，醒目位置规范设置禁烟标志；装修材料选用环保低挥发产品，用量管控合理，配套检测资料齐全。完全满足绿色建筑评价系统相关要求。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4" w:name="_GoBack"/>
      <w:bookmarkEnd w:id="14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17"/>
  </w:num>
  <w:num w:numId="9">
    <w:abstractNumId w:val="9"/>
  </w:num>
  <w:num w:numId="10">
    <w:abstractNumId w:val="0"/>
  </w:num>
  <w:num w:numId="11">
    <w:abstractNumId w:val="13"/>
  </w:num>
  <w:num w:numId="12">
    <w:abstractNumId w:val="16"/>
  </w:num>
  <w:num w:numId="13">
    <w:abstractNumId w:val="3"/>
  </w:num>
  <w:num w:numId="14">
    <w:abstractNumId w:val="14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8127E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2026-03-23T07:42:00Z</dcterms:created>
  <dc:creator>Apache POI</dc:creator>
  <cp:lastModifiedBy>hp</cp:lastModifiedBy>
  <dcterms:modified xsi:type="dcterms:W3CDTF">2026-03-23T07:43:25Z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