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80" w:after="140" w:line="288" w:lineRule="auto"/>
        <w:ind w:left="0"/>
        <w:jc w:val="left"/>
        <w:outlineLvl w:val="0"/>
      </w:pPr>
      <w:bookmarkStart w:id="0" w:name="heading_8"/>
      <w:r>
        <w:rPr>
          <w:rFonts w:ascii="Arial" w:hAnsi="Arial" w:eastAsia="等线" w:cs="Arial"/>
          <w:b/>
          <w:sz w:val="36"/>
        </w:rPr>
        <w:t>建筑内部非结构构件、设备及附属设施维修与管理记录</w:t>
      </w:r>
      <w:bookmarkEnd w:id="0"/>
    </w:p>
    <w:p>
      <w:pPr>
        <w:spacing w:before="320" w:after="120" w:line="288" w:lineRule="auto"/>
        <w:ind w:left="0"/>
        <w:jc w:val="left"/>
        <w:outlineLvl w:val="1"/>
      </w:pPr>
      <w:bookmarkStart w:id="1" w:name="heading_9"/>
      <w:r>
        <w:rPr>
          <w:rFonts w:ascii="Arial" w:hAnsi="Arial" w:eastAsia="等线" w:cs="Arial"/>
          <w:b/>
          <w:sz w:val="32"/>
        </w:rPr>
        <w:t>一、运维基础信息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运维单位</w:t>
      </w:r>
      <w:r>
        <w:rPr>
          <w:rFonts w:ascii="Arial" w:hAnsi="Arial" w:eastAsia="等线" w:cs="Arial"/>
          <w:sz w:val="22"/>
        </w:rPr>
        <w:t>：驻马店市城投物业服务有限公司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运维周期</w:t>
      </w:r>
      <w:r>
        <w:rPr>
          <w:rFonts w:ascii="Arial" w:hAnsi="Arial" w:eastAsia="等线" w:cs="Arial"/>
          <w:sz w:val="22"/>
        </w:rPr>
        <w:t>：2025年11月10日-2026年3月22日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管理范围</w:t>
      </w:r>
      <w:r>
        <w:rPr>
          <w:rFonts w:ascii="Arial" w:hAnsi="Arial" w:eastAsia="等线" w:cs="Arial"/>
          <w:sz w:val="22"/>
        </w:rPr>
        <w:t>：内部非结构构件、设备及附属设施连接节点、锚固构件、减震装置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10"/>
      <w:r>
        <w:rPr>
          <w:rFonts w:ascii="Arial" w:hAnsi="Arial" w:eastAsia="等线" w:cs="Arial"/>
          <w:b/>
          <w:sz w:val="32"/>
        </w:rPr>
        <w:t>二、定期检查记录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检查日期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检查对象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检查结果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2025.11.15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全品类设施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连接牢固度、减震装置完整性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整体完好，无松动隐患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周明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2025.12.12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吊顶、栏杆、管道支架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吊杆紧固性、防腐层、支吊架滑移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1处吊顶吊杆松动，防腐层局部磨损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吴丽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2026.01.18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消防、空调、桥架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设备锚固、抗震限位、柔性连接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锚固牢固，限位间隙合规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郑凯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2026.02.15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隔墙、饰面板、展陈基座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挂件牢固度、减震垫老化情况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1处饰面板挂件移位，减震垫完好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冯雪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2026.03.10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全范围设施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维修复核、牢固度终验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隐患全整改，性能达标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王健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3" w:name="heading_11"/>
      <w:r>
        <w:rPr>
          <w:rFonts w:ascii="Arial" w:hAnsi="Arial" w:eastAsia="等线" w:cs="Arial"/>
          <w:b/>
          <w:sz w:val="32"/>
        </w:rPr>
        <w:t>三、维修整改记录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维修日期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故障部位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问题描述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维修方案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维修结果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复核人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2025.12.16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二层展厅吊顶龙骨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膨胀吊杆松动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紧固螺栓+加装防松垫片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吊杆牢固，承载力达标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吴丽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2025.12.22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公共区域栏杆扶手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防腐层磨损、轻微锈蚀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打磨除锈+涂刷防腐漆2遍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防腐完好，无锈蚀风险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周明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2026.02.18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三层墙面饰面板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干挂挂件移位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调整挂件+紧固化学锚栓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贴合严密，抗剪达标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冯雪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2026.03.05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空调机房管道支架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抱箍滑移、胶圈老化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紧固抱箍+更换密封圈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无滑移，柔性连接完好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郑凯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2026.03.15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设备夹层桥架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抗震支架间隙偏大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调整限位挡板+加固托架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间隙合规，无移位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王健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4" w:name="heading_12"/>
      <w:r>
        <w:rPr>
          <w:rFonts w:ascii="Arial" w:hAnsi="Arial" w:eastAsia="等线" w:cs="Arial"/>
          <w:b/>
          <w:sz w:val="32"/>
        </w:rPr>
        <w:t>四、运维保障措施</w:t>
      </w:r>
      <w:bookmarkEnd w:id="4"/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配备专职运维人员3名，持证上岗，定期开展专项培训；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储备常用备件，故障维修即时响应，预留充足检修空间；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定期复测力学性能，检查变形适应构造，杜绝安全隐患。</w:t>
      </w:r>
    </w:p>
    <w:p>
      <w:pPr>
        <w:spacing w:before="320" w:after="120" w:line="288" w:lineRule="auto"/>
        <w:ind w:left="0"/>
        <w:jc w:val="left"/>
        <w:outlineLvl w:val="1"/>
      </w:pPr>
      <w:bookmarkStart w:id="5" w:name="heading_13"/>
      <w:r>
        <w:rPr>
          <w:rFonts w:ascii="Arial" w:hAnsi="Arial" w:eastAsia="等线" w:cs="Arial"/>
          <w:b/>
          <w:sz w:val="32"/>
        </w:rPr>
        <w:t>五、管理评定结论</w:t>
      </w:r>
      <w:bookmarkEnd w:id="5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本周期检查、维修记录完整可追溯，设施连接牢固、变形适应能力达标，运维管理符合绿建评价要求，评定为合格。</w:t>
            </w:r>
          </w:p>
        </w:tc>
      </w:tr>
    </w:tbl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1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2026-03-23T06:00:01Z</dcterms:created>
  <dc:creator>hp</dc:creator>
  <cp:lastModifiedBy>hp</cp:lastModifiedBy>
  <dcterms:modified xsi:type="dcterms:W3CDTF">2026-03-23T06:00:13Z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