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5.1.2 防排气倒灌措施相关产品性能检测报告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检测目的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为落实《绿色建筑评价标准》（GB/T 50378-2019）第5.1.2条“应防止厨房、卫生间的排气倒灌”要求，本项目厨房排油烟系统、卫生间排风系统均设置止回阀作为防排气倒灌核心产品。本次检测旨在通过专业第三方检测，验证所用止回阀的产品性能是否符合国家规范及项目设计要求，确保其具备有效的防排气倒灌功能，为绿建评价提供真实、准确、完整的佐证依据，保障排风系统运行安全，避免排气倒灌引发的室内空气污染及安全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检测依据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50378-2019）第5.1.2条相关要求；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《建筑通风和排烟系统用防火阀门》（GB 15930-2007）；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《厨房排油烟气防火止回阀》（CJ/T 294-2010）；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《建筑通风与排烟系统性能检测标准》（JGJ/T 441-2018）；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《建筑防烟排烟系统技术标准》（GB 51251-2017）；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本项目暖通空调设计图纸中关于防排气倒灌产品的技术参数要求；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止回阀产品出厂合格证、技术说明书；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国家及地方关于通风管道止回阀性能检测的相关规范、标准。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检测机构及资质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由具备国家认可的建筑材料检测资质（CMA认证）的第三方检测机构承担，检测机构资质证书编号：XXX，检测范围涵盖通风管道阀门性能检测，检测人员均具备相应检测资格证书，检测过程严格遵循规范要求，确保检测结果科学、公正、有效。本次检测为建设单位委托检测，检测报告可作为工程质量验收及绿建评价的有效佐证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检测产品概况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本次检测产品为项目厨房排油烟系统、卫生间排风系统所用止回阀，均为同一厂家生产，产品型号、规格及应用部位贴合项目设计要求，具体概况如下表：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产品用途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厨房排油烟防火止回阀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FYH</w:t>
            </w:r>
            <w:r>
              <w:rPr>
                <w:rFonts w:eastAsia="等线" w:ascii="Arial" w:cs="Arial" w:hAnsi="Arial"/>
                <w:sz w:val="22"/>
              </w:rPr>
              <w:t>-150（公称直径150mm）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XXX环保设备有限公司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不锈钢+耐高温密封件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地上2层厨房排油烟系统出口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防止厨房油烟排气倒</w:t>
            </w:r>
            <w:r>
              <w:rPr>
                <w:rFonts w:eastAsia="等线" w:ascii="Arial" w:cs="Arial" w:hAnsi="Arial"/>
                <w:sz w:val="22"/>
              </w:rPr>
              <w:t>灌，兼具防火功能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卫生间排风止回阀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ZH-100（公称直径100mm）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XXX环保设备有限公司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ABS工程塑料+橡胶密封件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地上4-19层公共卫生间、地下1层员工卫生间排风系统出口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防止卫生间异味及</w:t>
            </w:r>
            <w:r>
              <w:rPr>
                <w:rFonts w:eastAsia="等线" w:ascii="Arial" w:cs="Arial" w:hAnsi="Arial"/>
                <w:sz w:val="22"/>
              </w:rPr>
              <w:t>排气倒灌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本次检测采用抽样检测方式，按不同系统抽检一次，厨房排油烟防火止回阀抽检2台，卫生间排风止回阀抽检5台，抽样样品均来自项目进场产品，具有代表性，检测结果适用于本项目所有同型号、同规格止回阀产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1.5 检测环境及设备</w:t>
      </w:r>
      <w:bookmarkEnd w:id="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1.5.1 检测环境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检测环境温度：23℃±2℃，相对湿度：50%±5%，大气压力：101.3kPa，无明显气流干扰，检测环境符合规范要求，确保检测结果稳定、准确。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1.5.2 检测设备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本次检测所用设备均经计量检定合格，在检定有效期内，具体设备如下：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风机：风压180Pa~250Pa，排风量500m³/h，用于模拟气流正反向流动；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压力传感器：量程0-500Pa，精度±1Pa，用于测量阀门两侧压力差；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流量计量仪：量程0-1000m³/h，精度±2%，用于测量通过阀门的气流流量；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烟雾发生器：用于烟雾试验，检测阀门密封及防倒灌效果；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游标卡尺：量程0-150mm，精度±0.02mm，用于测量阀门尺寸；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耐火试验炉：用于检测防火止回阀的耐火性能。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二、检测项目及检测方法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防排气倒灌核心需求及产品特性，本次检测重点针对止回阀的止逆性能、密封性能、开启阻力、外观质量、耐火性能（仅厨房排油烟防火止回阀）等关键项目进行检测，具体检测项目及方法如下，均符合相关国家规范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2.1 止逆性能检测</w:t>
      </w:r>
      <w:bookmarkEnd w:id="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2.1.1 检测目的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验证止回阀在反向气流作用下的止逆效果，确保其能有效阻止排气倒灌，核心检测阀门反向气流时的关闭密封性。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2.1.2 检测方法</w:t>
      </w:r>
      <w:bookmarkEnd w:id="11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将抽样止回阀安装在标准检测管道上，确保安装牢固、密封良好，无气流泄漏；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开启风机，向阀门施加正向气流（与排风方向一致），调节气流速度，模拟正常排风工况，观察阀门开启状态，记录开启时的气流速度；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关闭正向气流，切换风机方向，向阀门施加反向气流（模拟排气倒灌工况），调节反向气流压力，范围为0-200Pa（涵盖项目极端天气下的最大室外风压）；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观察阀门关闭状态，测量反向气流通过阀门的泄漏量，判断止逆性能是否符合要求；同时采用烟雾试验辅助检测，在阀门一侧通入烟雾，目测另一侧是否有烟雾漏出，验证止逆效果。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2.2 密封性能检测</w:t>
      </w:r>
      <w:bookmarkEnd w:id="1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2.2.1 检测目的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检测止回阀关闭状态下的密封性能，避免因密封不严导致排气倒灌或室外污染物渗入室内。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2.2.2 检测方法</w:t>
      </w:r>
      <w:bookmarkEnd w:id="14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将止回阀处于完全关闭状态，安装在密封检测装置上；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向阀门一侧施加规定压力（正向、反向各检测一次），压力值设定为100Pa，保持压力稳定；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测量阀门另一侧的压力泄漏量，计算泄漏率，对比规范限值，判断密封性能是否合格；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对于厨房排油烟防火止回阀，额外检测高温状态（200℃）下的密封性能，模拟厨房高温排风工况下的密封效果。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2.3 开启阻力检测</w:t>
      </w:r>
      <w:bookmarkEnd w:id="1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2.3.1 检测目的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检测止回阀开启时的气流阻力，确保其不会影响排风系统的正常运行，避免因阻力过大导致排风效率下降。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2.3.2 检测方法</w:t>
      </w:r>
      <w:bookmarkEnd w:id="17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将止回阀安装在检测管道上，开启风机，向阀门施加正向气流；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调节气流流量，使阀门完全开启，记录此时的气流速度及阀门两侧的压力差（即开启阻力）；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重复检测3次，取平均值，对比项目设计要求及规范限值，判断开启阻力是否合格。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2.4 外观质量检测</w:t>
      </w:r>
      <w:bookmarkEnd w:id="1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2.4.1 检测目的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检测止回阀的外观、结构及部件完整性，确保产品无质量缺陷，能够正常安装及运行。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2.4.2 检测方法</w:t>
      </w:r>
      <w:bookmarkEnd w:id="20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目测检查止回阀的阀体、叶片、密封件、转轴等部件，观察是否存在变形、裂纹、锈蚀、破损等缺陷；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用游标卡尺测量阀门公称直径、叶片厚度等关键尺寸，验证是否符合产品技术说明书及设计要求；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手动操作阀门叶片，检查叶片转动是否灵活，无卡顿、卡死现象，关闭后与阀体贴合紧密。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2.5 耐火性能检测（仅厨房排油烟防火止回阀）</w:t>
      </w:r>
      <w:bookmarkEnd w:id="2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2.5.1 检测目的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验证厨房排油烟防火止回阀的耐火极限及完整性，确保火灾发生时能够阻断火势蔓延，同时保持防倒灌功能。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2.5.2 检测方法</w:t>
      </w:r>
      <w:bookmarkEnd w:id="23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将厨房排油烟防火止回阀安装在耐火试验炉中，按GB 15930-2007标准升温曲线加热；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持续观察阀门的状态，记录耐火极限及完整性保持时间；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火灾模拟结束后，检查阀门是否能够正常关闭，密封性能是否满足要求，判断耐火性能是否合格。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三、检测结果与评价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本次检测严格按照上述检测项目及方法执行，抽样检测样品均通过所有项目检测，无不合格项，具体检测结果如下表，检测结果均符合规范及项目设计要求，能够有效实现防排气倒灌功能。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3.1 厨房排油烟防火止回阀（型号：FYH-150）检测结果</w:t>
      </w:r>
      <w:bookmarkEnd w:id="2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规范及设计要求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评价结果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止逆性能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反向气流压力≤</w:t>
            </w:r>
            <w:r>
              <w:rPr>
                <w:rFonts w:eastAsia="等线" w:ascii="Arial" w:cs="Arial" w:hAnsi="Arial"/>
                <w:sz w:val="22"/>
              </w:rPr>
              <w:t>200Pa时，阀门完全关闭，泄漏量≤0.5m³/h，烟雾试验无烟雾</w:t>
            </w:r>
            <w:r>
              <w:rPr>
                <w:rFonts w:eastAsia="等线" w:ascii="Arial" w:cs="Arial" w:hAnsi="Arial"/>
                <w:sz w:val="22"/>
              </w:rPr>
              <w:t>漏出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反向气流压力≤200Pa时</w:t>
            </w:r>
            <w:r>
              <w:rPr>
                <w:rFonts w:eastAsia="等线" w:ascii="Arial" w:cs="Arial" w:hAnsi="Arial"/>
                <w:sz w:val="22"/>
              </w:rPr>
              <w:t>，阀门关闭严密，泄漏量≤1.0m³/h，无烟雾泄漏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密封性能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常温下泄漏</w:t>
            </w:r>
            <w:r>
              <w:rPr>
                <w:rFonts w:eastAsia="等线" w:ascii="Arial" w:cs="Arial" w:hAnsi="Arial"/>
                <w:sz w:val="22"/>
              </w:rPr>
              <w:t>率≤0.3%，200℃高温下泄漏率≤0.5%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泄漏率≤1.0%，高温下泄漏率≤1.0%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开启阻力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平均开启阻力为80Pa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开启阻力≤100Pa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阀体、叶片</w:t>
            </w:r>
            <w:r>
              <w:rPr>
                <w:rFonts w:eastAsia="等线" w:ascii="Arial" w:cs="Arial" w:hAnsi="Arial"/>
                <w:sz w:val="22"/>
              </w:rPr>
              <w:t>无变形、裂纹、锈蚀，尺寸符合设计要求，叶片转动灵活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无明显缺陷，尺寸偏差≤±</w:t>
            </w:r>
            <w:r>
              <w:rPr>
                <w:rFonts w:eastAsia="等线" w:ascii="Arial" w:cs="Arial" w:hAnsi="Arial"/>
                <w:sz w:val="22"/>
              </w:rPr>
              <w:t>2mm，叶片转动灵活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耐火性能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耐火极限≥1.5h，完整性保持时间≥1.5</w:t>
            </w:r>
            <w:r>
              <w:rPr>
                <w:rFonts w:eastAsia="等线" w:ascii="Arial" w:cs="Arial" w:hAnsi="Arial"/>
                <w:sz w:val="22"/>
              </w:rPr>
              <w:t>h，火灾后可正常关闭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耐火极限≥1</w:t>
            </w:r>
            <w:r>
              <w:rPr>
                <w:rFonts w:eastAsia="等线" w:ascii="Arial" w:cs="Arial" w:hAnsi="Arial"/>
                <w:sz w:val="22"/>
              </w:rPr>
              <w:t>.0h，完整性保持时间≥1.0h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3.2 卫生间排风止回阀（型号：ZH-100）检测结果</w:t>
      </w:r>
      <w:bookmarkEnd w:id="2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规范及设计要求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评价结果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止逆性能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反向气流压力≤200</w:t>
            </w:r>
            <w:r>
              <w:rPr>
                <w:rFonts w:eastAsia="等线" w:ascii="Arial" w:cs="Arial" w:hAnsi="Arial"/>
                <w:sz w:val="22"/>
              </w:rPr>
              <w:t>Pa时，阀门完全关闭，泄漏量≤0.3m³/h，烟雾试验无烟雾漏出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反向气流压力≤200Pa时，阀门关闭</w:t>
            </w:r>
            <w:r>
              <w:rPr>
                <w:rFonts w:eastAsia="等线" w:ascii="Arial" w:cs="Arial" w:hAnsi="Arial"/>
                <w:sz w:val="22"/>
              </w:rPr>
              <w:t>严密，泄漏量≤1.0m³/h，无烟雾泄漏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密封性能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常温下泄漏率≤0</w:t>
            </w:r>
            <w:r>
              <w:rPr>
                <w:rFonts w:eastAsia="等线" w:ascii="Arial" w:cs="Arial" w:hAnsi="Arial"/>
                <w:sz w:val="22"/>
              </w:rPr>
              <w:t>.2%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泄漏率≤1.0%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开启阻力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平均开启阻力为65</w:t>
            </w:r>
            <w:r>
              <w:rPr>
                <w:rFonts w:eastAsia="等线" w:ascii="Arial" w:cs="Arial" w:hAnsi="Arial"/>
                <w:sz w:val="22"/>
              </w:rPr>
              <w:t>Pa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开启阻力≤100Pa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阀体、叶片无变形、</w:t>
            </w:r>
            <w:r>
              <w:rPr>
                <w:rFonts w:eastAsia="等线" w:ascii="Arial" w:cs="Arial" w:hAnsi="Arial"/>
                <w:sz w:val="22"/>
              </w:rPr>
              <w:t>破损，密封件完好，尺寸符合设计要求，叶片转动灵活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无明显缺陷，尺寸偏差≤±2</w:t>
            </w:r>
            <w:r>
              <w:rPr>
                <w:rFonts w:eastAsia="等线" w:ascii="Arial" w:cs="Arial" w:hAnsi="Arial"/>
                <w:sz w:val="22"/>
              </w:rPr>
              <w:t>mm，叶片转动灵活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3.3 综合评价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本次抽样检测的厨房排油烟防火止回阀、卫生间排风止回阀，所有检测项目均符合《建筑通风和排烟系统用防火阀门》（GB 15930-2007）、《厨房排油烟气防火止回阀》（CJ/T 294-2010）及项目设计要求。止逆性能、密封性能优异，能够在正常工况、极端天气及排风系统故障等情况下，有效阻止排气倒灌；开启阻力符合要求，不影响排风系统正常运行；外观质量完好，部件齐全、转动灵活；厨房排油烟防火止回阀耐火性能达标，兼具防火与防倒灌功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综上，本项目所用防排气倒灌产品（止回阀）性能合格，满足《绿色建筑评价标准》（GB/T 50378-2019）第5.1.2条“防止厨房、卫生间的排气倒灌”要求，可投入项目使用，作为防排气倒灌的有效措施。同时，施工过程中需确保止回阀安装牢固、密封良好，与排气道进气口连接部位采取密封措施，确保连接处不漏气，进一步保障防倒灌效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四、检测结论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项目厨房、卫生间排风系统所用止回阀，经第三方检测机构抽样检测，止逆性能、密封性能、开启阻力、外观质量（厨房排油烟防火止回阀额外检测耐火性能）均符合国家相关规范及项目设计要求，产品性能合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该批止回阀具备有效的防排气倒灌功能，能够满足《绿色建筑评价标准》（GB/T 50378-2019）第5.1.2条要求，可有效防止厨房油烟、卫生间异味排气倒灌，保障室内空气质量及人员健康；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本次检测过程科学、严谨，检测结果真实、可靠，检测报告及相关佐证材料可作为绿建评价、工程质量验收的重要依据；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建议施工单位严格按照施工规范安装止回阀，安装完成后进行现场防窜烟、防倒灌性能测试，运维单位定期检查止回阀运行状态及密封性，及时更换损坏部件，确保长期发挥防排气倒灌作用。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五、附则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本检测报告仅适用于本项目所用该型号、同规格止回阀产品，不得用于其他项目或其他规格产品；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本检测报告由第三方检测机构负责解释，检测结果仅对本次抽样样品负责；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本检测报告有效期为1年，若产品存放时间过长、安装不当或出现损坏，需重新进行检测；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本检测报告及相关检测原始记录、产品合格证、厂家资质文件留存归档，作为绿建评价的重要佐证材料；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若国家及地方相关规范、标准更新，按最新规范、标准对产品性能进行复核。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六、附件</w:t>
      </w:r>
      <w:bookmarkEnd w:id="30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附件1：第三方检测机构资质证书复印件；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附件2：止回阀产品出厂合格证、技术说明书；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附件3：检测原始记录（含数据、图表、照片）；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附件4：烟雾试验、耐火试验检测影像资料；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附件5：检测人员资格证书复印件；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附件6：止回阀安装示意图及密封处理要求。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七、检测机构信息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检测机构名称：XXX检测技术有限公司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地址：XXX市XXX区XXX路XXX号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联系电话：XXX-XXXXXXX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检测日期：XXXX年XX月XX日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报告出具日期：XXXX年XX月XX日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检测人员：XXX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审核人员：XXX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批准人员：XXX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检测机构盖章：（此处加盖检测机构公章）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37004">
    <w:lvl>
      <w:numFmt w:val="bullet"/>
      <w:suff w:val="tab"/>
      <w:lvlText w:val="•"/>
      <w:rPr>
        <w:color w:val="3370ff"/>
      </w:rPr>
    </w:lvl>
  </w:abstractNum>
  <w:abstractNum w:abstractNumId="337005">
    <w:lvl>
      <w:numFmt w:val="bullet"/>
      <w:suff w:val="tab"/>
      <w:lvlText w:val="•"/>
      <w:rPr>
        <w:color w:val="3370ff"/>
      </w:rPr>
    </w:lvl>
  </w:abstractNum>
  <w:abstractNum w:abstractNumId="337006">
    <w:lvl>
      <w:numFmt w:val="bullet"/>
      <w:suff w:val="tab"/>
      <w:lvlText w:val="•"/>
      <w:rPr>
        <w:color w:val="3370ff"/>
      </w:rPr>
    </w:lvl>
  </w:abstractNum>
  <w:abstractNum w:abstractNumId="337007">
    <w:lvl>
      <w:numFmt w:val="bullet"/>
      <w:suff w:val="tab"/>
      <w:lvlText w:val="•"/>
      <w:rPr>
        <w:color w:val="3370ff"/>
      </w:rPr>
    </w:lvl>
  </w:abstractNum>
  <w:abstractNum w:abstractNumId="337008">
    <w:lvl>
      <w:numFmt w:val="bullet"/>
      <w:suff w:val="tab"/>
      <w:lvlText w:val="•"/>
      <w:rPr>
        <w:color w:val="3370ff"/>
      </w:rPr>
    </w:lvl>
  </w:abstractNum>
  <w:abstractNum w:abstractNumId="337009">
    <w:lvl>
      <w:numFmt w:val="bullet"/>
      <w:suff w:val="tab"/>
      <w:lvlText w:val="•"/>
      <w:rPr>
        <w:color w:val="3370ff"/>
      </w:rPr>
    </w:lvl>
  </w:abstractNum>
  <w:abstractNum w:abstractNumId="337010">
    <w:lvl>
      <w:numFmt w:val="bullet"/>
      <w:suff w:val="tab"/>
      <w:lvlText w:val="•"/>
      <w:rPr>
        <w:color w:val="3370ff"/>
      </w:rPr>
    </w:lvl>
  </w:abstractNum>
  <w:abstractNum w:abstractNumId="337011">
    <w:lvl>
      <w:numFmt w:val="bullet"/>
      <w:suff w:val="tab"/>
      <w:lvlText w:val="•"/>
      <w:rPr>
        <w:color w:val="3370ff"/>
      </w:rPr>
    </w:lvl>
  </w:abstractNum>
  <w:abstractNum w:abstractNumId="337012">
    <w:lvl>
      <w:numFmt w:val="bullet"/>
      <w:suff w:val="tab"/>
      <w:lvlText w:val="•"/>
      <w:rPr>
        <w:color w:val="3370ff"/>
      </w:rPr>
    </w:lvl>
  </w:abstractNum>
  <w:abstractNum w:abstractNumId="337013">
    <w:lvl>
      <w:numFmt w:val="bullet"/>
      <w:suff w:val="tab"/>
      <w:lvlText w:val="•"/>
      <w:rPr>
        <w:color w:val="3370ff"/>
      </w:rPr>
    </w:lvl>
  </w:abstractNum>
  <w:abstractNum w:abstractNumId="337014">
    <w:lvl>
      <w:numFmt w:val="bullet"/>
      <w:suff w:val="tab"/>
      <w:lvlText w:val="•"/>
      <w:rPr>
        <w:color w:val="3370ff"/>
      </w:rPr>
    </w:lvl>
  </w:abstractNum>
  <w:abstractNum w:abstractNumId="337015">
    <w:lvl>
      <w:numFmt w:val="bullet"/>
      <w:suff w:val="tab"/>
      <w:lvlText w:val="•"/>
      <w:rPr>
        <w:color w:val="3370ff"/>
      </w:rPr>
    </w:lvl>
  </w:abstractNum>
  <w:abstractNum w:abstractNumId="337016">
    <w:lvl>
      <w:numFmt w:val="bullet"/>
      <w:suff w:val="tab"/>
      <w:lvlText w:val="•"/>
      <w:rPr>
        <w:color w:val="3370ff"/>
      </w:rPr>
    </w:lvl>
  </w:abstractNum>
  <w:abstractNum w:abstractNumId="337017">
    <w:lvl>
      <w:numFmt w:val="bullet"/>
      <w:suff w:val="tab"/>
      <w:lvlText w:val="•"/>
      <w:rPr>
        <w:color w:val="3370ff"/>
      </w:rPr>
    </w:lvl>
  </w:abstractNum>
  <w:abstractNum w:abstractNumId="337018">
    <w:lvl>
      <w:start w:val="1"/>
      <w:numFmt w:val="decimal"/>
      <w:suff w:val="tab"/>
      <w:lvlText w:val="%1."/>
      <w:rPr>
        <w:color w:val="3370ff"/>
      </w:rPr>
    </w:lvl>
  </w:abstractNum>
  <w:abstractNum w:abstractNumId="337019">
    <w:lvl>
      <w:start w:val="2"/>
      <w:numFmt w:val="decimal"/>
      <w:suff w:val="tab"/>
      <w:lvlText w:val="%1."/>
      <w:rPr>
        <w:color w:val="3370ff"/>
      </w:rPr>
    </w:lvl>
  </w:abstractNum>
  <w:abstractNum w:abstractNumId="337020">
    <w:lvl>
      <w:start w:val="3"/>
      <w:numFmt w:val="decimal"/>
      <w:suff w:val="tab"/>
      <w:lvlText w:val="%1."/>
      <w:rPr>
        <w:color w:val="3370ff"/>
      </w:rPr>
    </w:lvl>
  </w:abstractNum>
  <w:abstractNum w:abstractNumId="337021">
    <w:lvl>
      <w:start w:val="4"/>
      <w:numFmt w:val="decimal"/>
      <w:suff w:val="tab"/>
      <w:lvlText w:val="%1."/>
      <w:rPr>
        <w:color w:val="3370ff"/>
      </w:rPr>
    </w:lvl>
  </w:abstractNum>
  <w:abstractNum w:abstractNumId="337022">
    <w:lvl>
      <w:start w:val="1"/>
      <w:numFmt w:val="decimal"/>
      <w:suff w:val="tab"/>
      <w:lvlText w:val="%1."/>
      <w:rPr>
        <w:color w:val="3370ff"/>
      </w:rPr>
    </w:lvl>
  </w:abstractNum>
  <w:abstractNum w:abstractNumId="337023">
    <w:lvl>
      <w:start w:val="2"/>
      <w:numFmt w:val="decimal"/>
      <w:suff w:val="tab"/>
      <w:lvlText w:val="%1."/>
      <w:rPr>
        <w:color w:val="3370ff"/>
      </w:rPr>
    </w:lvl>
  </w:abstractNum>
  <w:abstractNum w:abstractNumId="337024">
    <w:lvl>
      <w:start w:val="3"/>
      <w:numFmt w:val="decimal"/>
      <w:suff w:val="tab"/>
      <w:lvlText w:val="%1."/>
      <w:rPr>
        <w:color w:val="3370ff"/>
      </w:rPr>
    </w:lvl>
  </w:abstractNum>
  <w:abstractNum w:abstractNumId="337025">
    <w:lvl>
      <w:start w:val="4"/>
      <w:numFmt w:val="decimal"/>
      <w:suff w:val="tab"/>
      <w:lvlText w:val="%1."/>
      <w:rPr>
        <w:color w:val="3370ff"/>
      </w:rPr>
    </w:lvl>
  </w:abstractNum>
  <w:abstractNum w:abstractNumId="337026">
    <w:lvl>
      <w:start w:val="1"/>
      <w:numFmt w:val="decimal"/>
      <w:suff w:val="tab"/>
      <w:lvlText w:val="%1."/>
      <w:rPr>
        <w:color w:val="3370ff"/>
      </w:rPr>
    </w:lvl>
  </w:abstractNum>
  <w:abstractNum w:abstractNumId="337027">
    <w:lvl>
      <w:start w:val="2"/>
      <w:numFmt w:val="decimal"/>
      <w:suff w:val="tab"/>
      <w:lvlText w:val="%1."/>
      <w:rPr>
        <w:color w:val="3370ff"/>
      </w:rPr>
    </w:lvl>
  </w:abstractNum>
  <w:abstractNum w:abstractNumId="337028">
    <w:lvl>
      <w:start w:val="3"/>
      <w:numFmt w:val="decimal"/>
      <w:suff w:val="tab"/>
      <w:lvlText w:val="%1."/>
      <w:rPr>
        <w:color w:val="3370ff"/>
      </w:rPr>
    </w:lvl>
  </w:abstractNum>
  <w:abstractNum w:abstractNumId="337029">
    <w:lvl>
      <w:start w:val="1"/>
      <w:numFmt w:val="decimal"/>
      <w:suff w:val="tab"/>
      <w:lvlText w:val="%1."/>
      <w:rPr>
        <w:color w:val="3370ff"/>
      </w:rPr>
    </w:lvl>
  </w:abstractNum>
  <w:abstractNum w:abstractNumId="337030">
    <w:lvl>
      <w:start w:val="2"/>
      <w:numFmt w:val="decimal"/>
      <w:suff w:val="tab"/>
      <w:lvlText w:val="%1."/>
      <w:rPr>
        <w:color w:val="3370ff"/>
      </w:rPr>
    </w:lvl>
  </w:abstractNum>
  <w:abstractNum w:abstractNumId="337031">
    <w:lvl>
      <w:start w:val="3"/>
      <w:numFmt w:val="decimal"/>
      <w:suff w:val="tab"/>
      <w:lvlText w:val="%1."/>
      <w:rPr>
        <w:color w:val="3370ff"/>
      </w:rPr>
    </w:lvl>
  </w:abstractNum>
  <w:abstractNum w:abstractNumId="337032">
    <w:lvl>
      <w:start w:val="1"/>
      <w:numFmt w:val="decimal"/>
      <w:suff w:val="tab"/>
      <w:lvlText w:val="%1."/>
      <w:rPr>
        <w:color w:val="3370ff"/>
      </w:rPr>
    </w:lvl>
  </w:abstractNum>
  <w:abstractNum w:abstractNumId="337033">
    <w:lvl>
      <w:start w:val="2"/>
      <w:numFmt w:val="decimal"/>
      <w:suff w:val="tab"/>
      <w:lvlText w:val="%1."/>
      <w:rPr>
        <w:color w:val="3370ff"/>
      </w:rPr>
    </w:lvl>
  </w:abstractNum>
  <w:abstractNum w:abstractNumId="337034">
    <w:lvl>
      <w:start w:val="3"/>
      <w:numFmt w:val="decimal"/>
      <w:suff w:val="tab"/>
      <w:lvlText w:val="%1."/>
      <w:rPr>
        <w:color w:val="3370ff"/>
      </w:rPr>
    </w:lvl>
  </w:abstractNum>
  <w:abstractNum w:abstractNumId="337035">
    <w:lvl>
      <w:numFmt w:val="bullet"/>
      <w:suff w:val="tab"/>
      <w:lvlText w:val="•"/>
      <w:rPr>
        <w:color w:val="3370ff"/>
      </w:rPr>
    </w:lvl>
  </w:abstractNum>
  <w:abstractNum w:abstractNumId="337036">
    <w:lvl>
      <w:numFmt w:val="bullet"/>
      <w:suff w:val="tab"/>
      <w:lvlText w:val="•"/>
      <w:rPr>
        <w:color w:val="3370ff"/>
      </w:rPr>
    </w:lvl>
  </w:abstractNum>
  <w:abstractNum w:abstractNumId="337037">
    <w:lvl>
      <w:numFmt w:val="bullet"/>
      <w:suff w:val="tab"/>
      <w:lvlText w:val="•"/>
      <w:rPr>
        <w:color w:val="3370ff"/>
      </w:rPr>
    </w:lvl>
  </w:abstractNum>
  <w:abstractNum w:abstractNumId="337038">
    <w:lvl>
      <w:numFmt w:val="bullet"/>
      <w:suff w:val="tab"/>
      <w:lvlText w:val="•"/>
      <w:rPr>
        <w:color w:val="3370ff"/>
      </w:rPr>
    </w:lvl>
  </w:abstractNum>
  <w:abstractNum w:abstractNumId="337039">
    <w:lvl>
      <w:numFmt w:val="bullet"/>
      <w:suff w:val="tab"/>
      <w:lvlText w:val="•"/>
      <w:rPr>
        <w:color w:val="3370ff"/>
      </w:rPr>
    </w:lvl>
  </w:abstractNum>
  <w:abstractNum w:abstractNumId="337040">
    <w:lvl>
      <w:numFmt w:val="bullet"/>
      <w:suff w:val="tab"/>
      <w:lvlText w:val="•"/>
      <w:rPr>
        <w:color w:val="3370ff"/>
      </w:rPr>
    </w:lvl>
  </w:abstractNum>
  <w:num w:numId="1">
    <w:abstractNumId w:val="337004"/>
  </w:num>
  <w:num w:numId="2">
    <w:abstractNumId w:val="337005"/>
  </w:num>
  <w:num w:numId="3">
    <w:abstractNumId w:val="337006"/>
  </w:num>
  <w:num w:numId="4">
    <w:abstractNumId w:val="337007"/>
  </w:num>
  <w:num w:numId="5">
    <w:abstractNumId w:val="337008"/>
  </w:num>
  <w:num w:numId="6">
    <w:abstractNumId w:val="337009"/>
  </w:num>
  <w:num w:numId="7">
    <w:abstractNumId w:val="337010"/>
  </w:num>
  <w:num w:numId="8">
    <w:abstractNumId w:val="337011"/>
  </w:num>
  <w:num w:numId="9">
    <w:abstractNumId w:val="337012"/>
  </w:num>
  <w:num w:numId="10">
    <w:abstractNumId w:val="337013"/>
  </w:num>
  <w:num w:numId="11">
    <w:abstractNumId w:val="337014"/>
  </w:num>
  <w:num w:numId="12">
    <w:abstractNumId w:val="337015"/>
  </w:num>
  <w:num w:numId="13">
    <w:abstractNumId w:val="337016"/>
  </w:num>
  <w:num w:numId="14">
    <w:abstractNumId w:val="337017"/>
  </w:num>
  <w:num w:numId="15">
    <w:abstractNumId w:val="337018"/>
  </w:num>
  <w:num w:numId="16">
    <w:abstractNumId w:val="337019"/>
  </w:num>
  <w:num w:numId="17">
    <w:abstractNumId w:val="337020"/>
  </w:num>
  <w:num w:numId="18">
    <w:abstractNumId w:val="337021"/>
  </w:num>
  <w:num w:numId="19">
    <w:abstractNumId w:val="337022"/>
  </w:num>
  <w:num w:numId="20">
    <w:abstractNumId w:val="337023"/>
  </w:num>
  <w:num w:numId="21">
    <w:abstractNumId w:val="337024"/>
  </w:num>
  <w:num w:numId="22">
    <w:abstractNumId w:val="337025"/>
  </w:num>
  <w:num w:numId="23">
    <w:abstractNumId w:val="337026"/>
  </w:num>
  <w:num w:numId="24">
    <w:abstractNumId w:val="337027"/>
  </w:num>
  <w:num w:numId="25">
    <w:abstractNumId w:val="337028"/>
  </w:num>
  <w:num w:numId="26">
    <w:abstractNumId w:val="337029"/>
  </w:num>
  <w:num w:numId="27">
    <w:abstractNumId w:val="337030"/>
  </w:num>
  <w:num w:numId="28">
    <w:abstractNumId w:val="337031"/>
  </w:num>
  <w:num w:numId="29">
    <w:abstractNumId w:val="337032"/>
  </w:num>
  <w:num w:numId="30">
    <w:abstractNumId w:val="337033"/>
  </w:num>
  <w:num w:numId="31">
    <w:abstractNumId w:val="337034"/>
  </w:num>
  <w:num w:numId="32">
    <w:abstractNumId w:val="337035"/>
  </w:num>
  <w:num w:numId="33">
    <w:abstractNumId w:val="337036"/>
  </w:num>
  <w:num w:numId="34">
    <w:abstractNumId w:val="337037"/>
  </w:num>
  <w:num w:numId="35">
    <w:abstractNumId w:val="337038"/>
  </w:num>
  <w:num w:numId="36">
    <w:abstractNumId w:val="337039"/>
  </w:num>
  <w:num w:numId="37">
    <w:abstractNumId w:val="33704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2026-03-26T13:56:18Z</dcterms:created>
  <dc:creator>Apache POI</dc:creator>
</cp:coreProperties>
</file>