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防水防潮提资报告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为满足绿色建筑评价系统评审要求，本报告针对项目卫生间、浴室防水防潮工程，编制材料决算清单及工程检测报告，全程留存真实施工、检测数据，佐证防水防潮设计与施工合规性。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一、卫生间、浴室防水防潮材料决算清单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清单基本信息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清单编号</w:t>
      </w:r>
      <w:r>
        <w:rPr>
          <w:rFonts w:ascii="Arial" w:hAnsi="Arial" w:eastAsia="等线" w:cs="Arial"/>
          <w:sz w:val="22"/>
        </w:rPr>
        <w:t>：CG-SX-CL-2026-037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：驻马店市城投建筑工程有限公司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：2026年3月22日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适用范围</w:t>
      </w:r>
      <w:r>
        <w:rPr>
          <w:rFonts w:ascii="Arial" w:hAnsi="Arial" w:eastAsia="等线" w:cs="Arial"/>
          <w:sz w:val="22"/>
        </w:rPr>
        <w:t>：本项目公共卫生间、独立浴室地面防水层、墙面及顶棚防潮层工程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编制说明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本清单严格按照《绿色建筑评价标准》（GB/T 50378-2019）、《住宅室内防水工程技术标准》（JGJ298-2013）编制，涵盖卫生间、浴室地面防水、墙面及顶棚防潮全品类材料，工程量为现场实际施工量，单价采用豫南地区当期建材市场价，所有材料均符合环保、耐久绿建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防水防潮材料决算明细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使用部位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计量单位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实际工程量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单价（元）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合价（元）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聚合物水泥基防水涂料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Ⅰ型，1.5mm厚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卫生间、浴室地面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682.5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85.6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58422.00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双组份环保型，符合绿建建材要求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水泥基渗透结晶型防水涂料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1.2mm厚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地面反坎、阴阳角加强层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126.8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112.3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14239.64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节点防水加强处理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墙面防潮防霉涂料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内墙专用，0.8mm厚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卫生间、浴室墙面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1245.3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42.8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53298.84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环保无甲醛，防潮抑菌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顶棚防潮腻子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耐水型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卫生间、浴室顶棚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691.7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19713.45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防潮抗裂，适配吊顶基层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防水密封胶条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10mm×20mm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墙面地面交接处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892.2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6.9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6156.18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三元乙丙材质，耐老化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防水卷材附加层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SBS改性沥青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管根、地漏周边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75.4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98.7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7441.98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局部防水加强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界面处理剂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基层专用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防水基层处理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kg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326.6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15.2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4964.32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增强涂层附着力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防潮隔离膜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0.3mm厚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顶棚防潮层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691.7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12.6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8715.42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辅助防潮，隔绝潮气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1.4 决算汇总</w:t>
      </w:r>
      <w:bookmarkEnd w:id="4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材料总工程量</w:t>
      </w:r>
      <w:r>
        <w:rPr>
          <w:rFonts w:ascii="Arial" w:hAnsi="Arial" w:eastAsia="等线" w:cs="Arial"/>
          <w:sz w:val="22"/>
        </w:rPr>
        <w:t>：地面防水682.5㎡、墙面防潮1245.3㎡、顶棚防潮691.7㎡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材料合计金额</w:t>
      </w:r>
      <w:r>
        <w:rPr>
          <w:rFonts w:ascii="Arial" w:hAnsi="Arial" w:eastAsia="等线" w:cs="Arial"/>
          <w:sz w:val="22"/>
        </w:rPr>
        <w:t>：174751.83元（大写：人民币壹拾柒万肆仟柒佰伍拾壹元捌角叁分）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备注</w:t>
      </w:r>
      <w:r>
        <w:rPr>
          <w:rFonts w:ascii="Arial" w:hAnsi="Arial" w:eastAsia="等线" w:cs="Arial"/>
          <w:sz w:val="22"/>
        </w:rPr>
        <w:t>：本清单为实际施工决算量，不含人工、机械费，所有材料均送检合格，满足绿建防水防潮评价要求。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1.5 签章确认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编制人：__________  审核人：__________  审批人：__________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编制单位（盖章）：驻马店市城投建筑工程有限公司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日期：2026年3月22日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二、卫生间、浴室防水防潮工程检测报告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2.1 检测报告基础信息</w:t>
      </w:r>
      <w:bookmarkEnd w:id="7"/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：HN-JK-JC-2026-118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：河南建科工程质量检测有限公司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检测日期</w:t>
      </w:r>
      <w:r>
        <w:rPr>
          <w:rFonts w:ascii="Arial" w:hAnsi="Arial" w:eastAsia="等线" w:cs="Arial"/>
          <w:sz w:val="22"/>
        </w:rPr>
        <w:t>：2026年3月19日-2026年3月21日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：《绿色建筑评价标准》（GB/T 50378-2019）、《住宅室内防水工程技术标准》（JGJ298-2013）、《建筑防水工程现场检测技术规范》（JGJ/T299-2013）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2.2 检测范围与目的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检测范围</w:t>
      </w:r>
      <w:r>
        <w:rPr>
          <w:rFonts w:ascii="Arial" w:hAnsi="Arial" w:eastAsia="等线" w:cs="Arial"/>
          <w:sz w:val="22"/>
        </w:rPr>
        <w:t>：本项目所有公共卫生间、独立浴室地面防水层，墙面、顶棚防潮层施工质量及材料性能。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检测目的</w:t>
      </w:r>
      <w:r>
        <w:rPr>
          <w:rFonts w:ascii="Arial" w:hAnsi="Arial" w:eastAsia="等线" w:cs="Arial"/>
          <w:sz w:val="22"/>
        </w:rPr>
        <w:t>：核验防水层、防潮层施工完整性、密实性，验证材料环保性与耐久性能，确保卫生间、浴室防水防潮效果达标，满足绿建评价安全卫生、耐久适用要求。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2.3 检测内容与方法</w:t>
      </w:r>
      <w:bookmarkEnd w:id="9"/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地面防水层闭水试验（蓄水深度20-30mm，蓄水时长24h）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墙面、顶棚防潮层附着力、厚度检测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防水防潮材料环保性能、耐水性抽检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节点部位（地漏、管根、阴阳角）防水加强层核查</w:t>
      </w:r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2.4 检测结果（实测数据）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检测部位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规范要求值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现场实测值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检测结论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卫生间、浴室地面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24h闭水试验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无渗漏、无积水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24h蓄水无渗漏，楼下顶板干燥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卫生间、浴室地面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防水层厚度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≥1.5mm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平均1.6mm，最小1.52mm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卫生间、浴室墙面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防潮层附着力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无空鼓、脱落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空鼓率0%，涂层贴合严密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卫生间、浴室墙面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防潮层厚度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≥0.8mm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平均0.85mm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卫生间、浴室顶棚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防潮效果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无返潮、无结露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连续观测48h无返潮结露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防水防潮材料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环保性能（甲醛含量）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≤0.08mg/m³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0.05mg/m³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节点加强部位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防水密封性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无渗漏、无开裂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密封严密，无开裂渗漏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2.5 综合检测评定</w:t>
      </w:r>
      <w:bookmarkEnd w:id="1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经现场检测，本项目卫生间、浴室地面防水层施工规范，24h闭水试验无渗漏；墙面、顶棚防潮层密实牢固，防潮效果达标；所用防水防潮材料环保性能、力学性能均</w:t>
            </w:r>
            <w:bookmarkStart w:id="12" w:name="_GoBack"/>
            <w:bookmarkEnd w:id="12"/>
            <w:r>
              <w:rPr>
                <w:rFonts w:ascii="Arial" w:hAnsi="Arial" w:eastAsia="等线" w:cs="Arial"/>
                <w:sz w:val="22"/>
              </w:rPr>
              <w:t>符合规范及绿建评价要求。所有检测项目全部合格，满足《绿色建筑评价标准》中防水防潮相关条款要求。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46A08BB8"/>
    <w:multiLevelType w:val="singleLevel"/>
    <w:tmpl w:val="46A08BB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7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10"/>
  </w:num>
  <w:num w:numId="10">
    <w:abstractNumId w:val="0"/>
  </w:num>
  <w:num w:numId="11">
    <w:abstractNumId w:val="15"/>
  </w:num>
  <w:num w:numId="12">
    <w:abstractNumId w:val="20"/>
  </w:num>
  <w:num w:numId="13">
    <w:abstractNumId w:val="4"/>
  </w:num>
  <w:num w:numId="14">
    <w:abstractNumId w:val="18"/>
  </w:num>
  <w:num w:numId="15">
    <w:abstractNumId w:val="8"/>
  </w:num>
  <w:num w:numId="16">
    <w:abstractNumId w:val="13"/>
  </w:num>
  <w:num w:numId="17">
    <w:abstractNumId w:val="7"/>
  </w:num>
  <w:num w:numId="18">
    <w:abstractNumId w:val="6"/>
  </w:num>
  <w:num w:numId="19">
    <w:abstractNumId w:val="1"/>
  </w:num>
  <w:num w:numId="20">
    <w:abstractNumId w:val="17"/>
  </w:num>
  <w:num w:numId="21">
    <w:abstractNumId w:val="21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3C11B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2026-03-23T06:08:00Z</dcterms:created>
  <dc:creator>Apache POI</dc:creator>
  <cp:lastModifiedBy>hp</cp:lastModifiedBy>
  <dcterms:modified xsi:type="dcterms:W3CDTF">2026-03-23T06:09:33Z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