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驻马店博物馆绿色建筑二星级评价项目实际影像资料说明</w:t>
      </w:r>
    </w:p>
    <w:p>
      <w:pPr>
        <w:spacing w:before="120" w:after="120" w:line="288" w:lineRule="auto"/>
        <w:ind w:left="0"/>
        <w:jc w:val="left"/>
      </w:pPr>
      <w:r>
        <w:rPr>
          <w:rFonts w:eastAsia="等线" w:ascii="Arial" w:cs="Arial" w:hAnsi="Arial"/>
          <w:sz w:val="22"/>
        </w:rPr>
        <w:t>文档编号：LJ-ZMD-BWG-20221102</w:t>
      </w:r>
    </w:p>
    <w:p>
      <w:pPr>
        <w:spacing w:before="120" w:after="120" w:line="288" w:lineRule="auto"/>
        <w:ind w:left="0"/>
        <w:jc w:val="left"/>
      </w:pPr>
      <w:r>
        <w:rPr>
          <w:rFonts w:eastAsia="等线" w:ascii="Arial" w:cs="Arial" w:hAnsi="Arial"/>
          <w:sz w:val="22"/>
        </w:rPr>
        <w:t>影像采集单位：驻马店博物馆（统一社会信用代码：12411700418345863W）</w:t>
      </w:r>
    </w:p>
    <w:p>
      <w:pPr>
        <w:spacing w:before="120" w:after="120" w:line="288" w:lineRule="auto"/>
        <w:ind w:left="0"/>
        <w:jc w:val="left"/>
      </w:pPr>
      <w:r>
        <w:rPr>
          <w:rFonts w:eastAsia="等线" w:ascii="Arial" w:cs="Arial" w:hAnsi="Arial"/>
          <w:sz w:val="22"/>
        </w:rPr>
        <w:t>影像采集日期：2022年9月1日-2022年10月30日</w:t>
      </w:r>
    </w:p>
    <w:p>
      <w:pPr>
        <w:spacing w:before="120" w:after="120" w:line="288" w:lineRule="auto"/>
        <w:ind w:left="0"/>
        <w:jc w:val="left"/>
      </w:pPr>
      <w:r>
        <w:rPr>
          <w:rFonts w:eastAsia="等线" w:ascii="Arial" w:cs="Arial" w:hAnsi="Arial"/>
          <w:sz w:val="22"/>
        </w:rPr>
        <w:t>用途：本说明为驻马店博物馆绿色建筑二星级评价专项佐证材料，详细说明项目实际影像资料的采集、内容、规格及真实性，所有影像均对应项目实际情况，数据真实可核查，可直接用于绿建评价系统填报，佐证方案设计落地情况、能耗设备运行状态及建筑文化传承效果，接受绿建评价部门及相关监管单位核查。</w:t>
      </w:r>
    </w:p>
    <w:p>
      <w:pPr>
        <w:spacing w:before="120" w:after="120" w:line="288" w:lineRule="auto"/>
        <w:ind w:left="0"/>
        <w:jc w:val="left"/>
      </w:pPr>
      <w:r>
        <w:rPr>
          <w:rFonts w:eastAsia="等线" w:ascii="Arial" w:cs="Arial" w:hAnsi="Arial"/>
          <w:sz w:val="22"/>
        </w:rPr>
        <w:t>说明前提：本说明所涉及的影像资料均为驻马店博物馆现场实地采集，无后期篡改、合成，采集设备经专业校准，影像内容与项目实际一致；所有影像相关数据（采集时间、地点、规格、数量等）均真实可追溯，严格遵循《绿色建筑评价标准》（GB/T 50378-2019）相关要求，确保影像资料的合规性、关联性和真实性。</w:t>
      </w:r>
    </w:p>
    <w:p>
      <w:pPr>
        <w:pStyle w:val="2"/>
        <w:spacing w:before="320" w:after="120" w:line="288" w:lineRule="auto"/>
        <w:ind w:left="0"/>
        <w:jc w:val="left"/>
        <w:outlineLvl w:val="1"/>
      </w:pPr>
      <w:bookmarkStart w:name="heading_0" w:id="0"/>
      <w:r>
        <w:rPr>
          <w:rFonts w:eastAsia="等线" w:ascii="Arial" w:cs="Arial" w:hAnsi="Arial"/>
          <w:b w:val="true"/>
          <w:sz w:val="32"/>
        </w:rPr>
        <w:t>一、影像采集基本信息（真实可核查）</w:t>
      </w:r>
      <w:bookmarkEnd w:id="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215"/>
        <w:gridCol w:w="975"/>
        <w:gridCol w:w="1215"/>
        <w:gridCol w:w="975"/>
        <w:gridCol w:w="810"/>
        <w:gridCol w:w="1620"/>
        <w:gridCol w:w="1455"/>
      </w:tblGrid>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采集项目</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采集时间</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采集地点</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采集设备</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影像数量</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影像规格</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采集人员/负责人</w:t>
            </w:r>
          </w:p>
        </w:tc>
      </w:tr>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建筑外观及布局</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2022.09.01-09.03</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博物馆室外全域、周边绿化区</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佳能EOS R6（校准合格）</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42张（照片）</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JPG格式，分辨率6000×4000，24bit色深</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采集：王XX，负责人：李XX</w:t>
            </w:r>
          </w:p>
        </w:tc>
      </w:tr>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围护结构实景</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2022.09.05-09.08</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外墙、屋面、外窗、地下室外墙</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佳能EOS R6、卷尺（校准合格）</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58张（照片）</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JPG格式，分辨率6000×4000，含尺寸标注</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采集：赵XX，负责人：李XX</w:t>
            </w:r>
          </w:p>
        </w:tc>
      </w:tr>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暖通空调系统运行</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2022.09.10-10.25（不定期）</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地下设备机房、展厅、文物库房</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索尼AX700、红外测温仪</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12段（视频）、36张（照片）</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视频：MP4格式，1080P，30帧/秒；照片：同上述规格</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采集：孙XX，负责人：张XX</w:t>
            </w:r>
          </w:p>
        </w:tc>
      </w:tr>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给排水、电气系统</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2022.09.12-09.15</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设备机房、展厅、办公区、室外绿化区</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佳能EOS R6、万用表（校准合格）</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32张（照片）、4段（视频）</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视频：MP4格式，1080P；照片：同上述规格</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采集：刘XX，负责人：张XX</w:t>
            </w:r>
          </w:p>
        </w:tc>
      </w:tr>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建筑文化传承元素</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2022.09.20-09.25</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建筑外立面、门厅、展厅、文化广场</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佳能EOS R6、微距镜头</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65张（照片）、6段（视频）</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照片：含微距细节，视频：1080P，重点展示装饰元素</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采集：陈XX，负责人：周XX</w:t>
            </w:r>
          </w:p>
        </w:tc>
      </w:tr>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能耗计量设备</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2022.10.28-10.30</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设备机房、电表箱、热力计量点</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佳能EOS R6、相机支架</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28张（照片）、2段（视频）</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照片：清晰拍摄计量数值，视频：展示计量设备运行状态</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采集：孙XX，负责人：张XX</w:t>
            </w:r>
          </w:p>
        </w:tc>
      </w:tr>
      <w:tr>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21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9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8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263张照片、24段视频</w:t>
            </w:r>
          </w:p>
        </w:tc>
        <w:tc>
          <w:tcPr>
            <w:tcW w:w="16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总负责人：周XX</w:t>
            </w:r>
          </w:p>
        </w:tc>
      </w:tr>
    </w:tbl>
    <w:p>
      <w:pPr>
        <w:spacing w:before="120" w:after="120" w:line="288" w:lineRule="auto"/>
        <w:ind w:left="0"/>
        <w:jc w:val="left"/>
      </w:pPr>
      <w:r>
        <w:rPr>
          <w:rFonts w:eastAsia="等线" w:ascii="Arial" w:cs="Arial" w:hAnsi="Arial"/>
          <w:sz w:val="22"/>
        </w:rPr>
        <w:t>补充说明：采集设备校准情况——佳能EOS R6、索尼AX700、卷尺、万用表、红外测温仪均经驻马店市质量技术监督局校准合格，校准证书编号分别为JJ-ZMD-20220825（相机）、JJ-ZMD-20220826（测量工具），校准日期2022年8月25日，确保采集影像及数据真实准确。</w:t>
      </w:r>
    </w:p>
    <w:p>
      <w:pPr>
        <w:pStyle w:val="2"/>
        <w:spacing w:before="320" w:after="120" w:line="288" w:lineRule="auto"/>
        <w:ind w:left="0"/>
        <w:jc w:val="left"/>
        <w:outlineLvl w:val="1"/>
      </w:pPr>
      <w:bookmarkStart w:name="heading_1" w:id="1"/>
      <w:r>
        <w:rPr>
          <w:rFonts w:eastAsia="等线" w:ascii="Arial" w:cs="Arial" w:hAnsi="Arial"/>
          <w:b w:val="true"/>
          <w:sz w:val="32"/>
        </w:rPr>
        <w:t>二、影像资料具体内容及对应绿建评价指标（真实关联，可核查）</w:t>
      </w:r>
      <w:bookmarkEnd w:id="1"/>
    </w:p>
    <w:p>
      <w:pPr>
        <w:spacing w:before="120" w:after="120" w:line="288" w:lineRule="auto"/>
        <w:ind w:left="0"/>
        <w:jc w:val="left"/>
      </w:pPr>
      <w:r>
        <w:rPr>
          <w:rFonts w:eastAsia="等线" w:ascii="Arial" w:cs="Arial" w:hAnsi="Arial"/>
          <w:sz w:val="22"/>
        </w:rPr>
        <w:t>本次采集的影像资料均与驻马店博物馆绿色建筑二星级评价指标一一对应，全面覆盖方案设计落地情况、设备运行状态、文化传承效果，具体内容如下，所有影像均标注对应采集地点及时间，可通过影像文件属性核查，与前期方案设计论证报告、能耗运行记录数据一致。</w:t>
      </w:r>
    </w:p>
    <w:p>
      <w:pPr>
        <w:pStyle w:val="3"/>
        <w:spacing w:before="300" w:after="120" w:line="288" w:lineRule="auto"/>
        <w:ind w:left="0"/>
        <w:jc w:val="left"/>
        <w:outlineLvl w:val="2"/>
      </w:pPr>
      <w:bookmarkStart w:name="heading_2" w:id="2"/>
      <w:r>
        <w:rPr>
          <w:rFonts w:eastAsia="等线" w:ascii="Arial" w:cs="Arial" w:hAnsi="Arial"/>
          <w:b w:val="true"/>
          <w:sz w:val="30"/>
        </w:rPr>
        <w:t>（一）建筑外观及布局类影像（42张照片）</w:t>
      </w:r>
      <w:bookmarkEnd w:id="2"/>
    </w:p>
    <w:p>
      <w:pPr>
        <w:numPr>
          <w:numId w:val="1"/>
        </w:numPr>
        <w:spacing w:before="120" w:after="120" w:line="288" w:lineRule="auto"/>
        <w:ind w:left="0"/>
        <w:jc w:val="left"/>
      </w:pPr>
      <w:r>
        <w:rPr>
          <w:rFonts w:eastAsia="等线" w:ascii="Arial" w:cs="Arial" w:hAnsi="Arial"/>
          <w:sz w:val="22"/>
        </w:rPr>
        <w:t>核心内容：博物馆主体建筑全景（8张，含东南西北四个朝向）、建筑中轴线布局（5张）、室外绿化全景及细节（12张）、自然通风外窗开启状态（7张）、文化广场实景（6张）、周边环境（4张），清晰呈现建筑坐北朝南（偏东5°）的布局特点、35.1%的绿地率及3020㎡绿化面积的实际落地情况。</w:t>
      </w:r>
    </w:p>
    <w:p>
      <w:pPr>
        <w:numPr>
          <w:numId w:val="2"/>
        </w:numPr>
        <w:spacing w:before="120" w:after="120" w:line="288" w:lineRule="auto"/>
        <w:ind w:left="0"/>
        <w:jc w:val="left"/>
      </w:pPr>
      <w:r>
        <w:rPr>
          <w:rFonts w:eastAsia="等线" w:ascii="Arial" w:cs="Arial" w:hAnsi="Arial"/>
          <w:sz w:val="22"/>
        </w:rPr>
        <w:t>对应绿建指标：节能与能源利用（建筑布局节能）、环境品质（绿化与室外环境）、人文与环境融合（建筑与周边环境适配）。</w:t>
      </w:r>
    </w:p>
    <w:p>
      <w:pPr>
        <w:numPr>
          <w:numId w:val="3"/>
        </w:numPr>
        <w:spacing w:before="120" w:after="120" w:line="288" w:lineRule="auto"/>
        <w:ind w:left="0"/>
        <w:jc w:val="left"/>
      </w:pPr>
      <w:r>
        <w:rPr>
          <w:rFonts w:eastAsia="等线" w:ascii="Arial" w:cs="Arial" w:hAnsi="Arial"/>
          <w:sz w:val="22"/>
        </w:rPr>
        <w:t>关键佐证：影像中可清晰看到乡土植物搭配（乔木、灌木、地被植物）、可开启外窗分布，与前期实测的可开启外窗面积286㎡、可开启率45.3%一致；绿化区域标注清晰，可通过影像比对核实绿化面积，与第三方检测报告（JC-ZMD-20220928）数据吻合。</w:t>
      </w:r>
    </w:p>
    <w:p>
      <w:pPr>
        <w:pStyle w:val="3"/>
        <w:spacing w:before="300" w:after="120" w:line="288" w:lineRule="auto"/>
        <w:ind w:left="0"/>
        <w:jc w:val="left"/>
        <w:outlineLvl w:val="2"/>
      </w:pPr>
      <w:bookmarkStart w:name="heading_3" w:id="3"/>
      <w:r>
        <w:rPr>
          <w:rFonts w:eastAsia="等线" w:ascii="Arial" w:cs="Arial" w:hAnsi="Arial"/>
          <w:b w:val="true"/>
          <w:sz w:val="30"/>
        </w:rPr>
        <w:t>（二）围护结构实景影像（58张照片）</w:t>
      </w:r>
      <w:bookmarkEnd w:id="3"/>
    </w:p>
    <w:p>
      <w:pPr>
        <w:numPr>
          <w:numId w:val="4"/>
        </w:numPr>
        <w:spacing w:before="120" w:after="120" w:line="288" w:lineRule="auto"/>
        <w:ind w:left="0"/>
        <w:jc w:val="left"/>
      </w:pPr>
      <w:r>
        <w:rPr>
          <w:rFonts w:eastAsia="等线" w:ascii="Arial" w:cs="Arial" w:hAnsi="Arial"/>
          <w:sz w:val="22"/>
        </w:rPr>
        <w:t>核心内容：外墙仿青砖材质及外保温系统细节（15张）、屋面保温隔热层施工实景及仿青灰瓦细节（12张）、断桥铝Low-E中空外窗（6+12A+6）实景及尺寸标注（14张）、地下室外墙保温砂浆施工细节（10张）、围护结构检测现场（7张），清晰呈现围护结构各部位的材料规格及施工质量。</w:t>
      </w:r>
    </w:p>
    <w:p>
      <w:pPr>
        <w:numPr>
          <w:numId w:val="5"/>
        </w:numPr>
        <w:spacing w:before="120" w:after="120" w:line="288" w:lineRule="auto"/>
        <w:ind w:left="0"/>
        <w:jc w:val="left"/>
      </w:pPr>
      <w:r>
        <w:rPr>
          <w:rFonts w:eastAsia="等线" w:ascii="Arial" w:cs="Arial" w:hAnsi="Arial"/>
          <w:sz w:val="22"/>
        </w:rPr>
        <w:t>对应绿建指标：节能与能源利用（围护结构节能）。</w:t>
      </w:r>
    </w:p>
    <w:p>
      <w:pPr>
        <w:numPr>
          <w:numId w:val="6"/>
        </w:numPr>
        <w:spacing w:before="120" w:after="120" w:line="288" w:lineRule="auto"/>
        <w:ind w:left="0"/>
        <w:jc w:val="left"/>
      </w:pPr>
      <w:r>
        <w:rPr>
          <w:rFonts w:eastAsia="等线" w:ascii="Arial" w:cs="Arial" w:hAnsi="Arial"/>
          <w:sz w:val="22"/>
        </w:rPr>
        <w:t>关键佐证：影像中包含保温材料厚度标注（50mm挤塑板、80mm岩棉板、30mm保温砂浆），可通过卷尺测量影像中的标注尺寸，与实测传热系数数据（外墙0.68 W/(㎡·K)、屋面0.52 W/(㎡·K)等）对应，与驻马店市建筑工程质量检测中心检测报告（JC-GW-20221015）一致，佐证围护结构节能设计落地。</w:t>
      </w:r>
    </w:p>
    <w:p>
      <w:pPr>
        <w:pStyle w:val="3"/>
        <w:spacing w:before="300" w:after="120" w:line="288" w:lineRule="auto"/>
        <w:ind w:left="0"/>
        <w:jc w:val="left"/>
        <w:outlineLvl w:val="2"/>
      </w:pPr>
      <w:bookmarkStart w:name="heading_4" w:id="4"/>
      <w:r>
        <w:rPr>
          <w:rFonts w:eastAsia="等线" w:ascii="Arial" w:cs="Arial" w:hAnsi="Arial"/>
          <w:b w:val="true"/>
          <w:sz w:val="30"/>
        </w:rPr>
        <w:t>（三）暖通空调系统运行影像（12段视频、36张照片）</w:t>
      </w:r>
      <w:bookmarkEnd w:id="4"/>
    </w:p>
    <w:p>
      <w:pPr>
        <w:numPr>
          <w:numId w:val="7"/>
        </w:numPr>
        <w:spacing w:before="120" w:after="120" w:line="288" w:lineRule="auto"/>
        <w:ind w:left="0"/>
        <w:jc w:val="left"/>
      </w:pPr>
      <w:r>
        <w:rPr>
          <w:rFonts w:eastAsia="等线" w:ascii="Arial" w:cs="Arial" w:hAnsi="Arial"/>
          <w:sz w:val="22"/>
        </w:rPr>
        <w:t>核心内容：地下设备机房内2台螺杆式冷水机组（型号LSBLG1300/2）运行状态（4段视频、8张照片）、冷却塔运行实景（2段视频、5张照片）、冷却水泵、冷冻水泵运行状态（2段视频、6张照片）、4台全热交换器（型号HRV-2500）运行细节（2段视频、7张照片）、文物库房恒温恒湿空调运行及温湿度显示（1段视频、5张照片）、办公区多联机空调运行状态（1段视频、5张照片）。</w:t>
      </w:r>
    </w:p>
    <w:p>
      <w:pPr>
        <w:numPr>
          <w:numId w:val="8"/>
        </w:numPr>
        <w:spacing w:before="120" w:after="120" w:line="288" w:lineRule="auto"/>
        <w:ind w:left="0"/>
        <w:jc w:val="left"/>
      </w:pPr>
      <w:r>
        <w:rPr>
          <w:rFonts w:eastAsia="等线" w:ascii="Arial" w:cs="Arial" w:hAnsi="Arial"/>
          <w:sz w:val="22"/>
        </w:rPr>
        <w:t>对应绿建指标：节能与能源利用（暖通空调系统节能）、室内环境品质（温湿度控制）。</w:t>
      </w:r>
    </w:p>
    <w:p>
      <w:pPr>
        <w:numPr>
          <w:numId w:val="9"/>
        </w:numPr>
        <w:spacing w:before="120" w:after="120" w:line="288" w:lineRule="auto"/>
        <w:ind w:left="0"/>
        <w:jc w:val="left"/>
      </w:pPr>
      <w:r>
        <w:rPr>
          <w:rFonts w:eastAsia="等线" w:ascii="Arial" w:cs="Arial" w:hAnsi="Arial"/>
          <w:sz w:val="22"/>
        </w:rPr>
        <w:t>关键佐证：视频中清晰记录冷水机组COP值显示（5.78）、全热交换器换热效率（77.8%），照片中包含文物库房温湿度显示（18±1℃、相对湿度55±5%），与2022年1-10月能耗实测数据（制冷期总能耗244320kWh、新风系统能耗37440kWh等）一致，佐证暖通空调系统节能运行及文物保护适配性，同时体现博物馆作为国家二级博物馆对文物保存环境的严格管控要求。</w:t>
      </w:r>
    </w:p>
    <w:p>
      <w:pPr>
        <w:pStyle w:val="3"/>
        <w:spacing w:before="300" w:after="120" w:line="288" w:lineRule="auto"/>
        <w:ind w:left="0"/>
        <w:jc w:val="left"/>
        <w:outlineLvl w:val="2"/>
      </w:pPr>
      <w:bookmarkStart w:name="heading_5" w:id="5"/>
      <w:r>
        <w:rPr>
          <w:rFonts w:eastAsia="等线" w:ascii="Arial" w:cs="Arial" w:hAnsi="Arial"/>
          <w:b w:val="true"/>
          <w:sz w:val="30"/>
        </w:rPr>
        <w:t>（四）给排水、电气系统影像（32张照片、4段视频）</w:t>
      </w:r>
      <w:bookmarkEnd w:id="5"/>
    </w:p>
    <w:p>
      <w:pPr>
        <w:numPr>
          <w:numId w:val="10"/>
        </w:numPr>
        <w:spacing w:before="120" w:after="120" w:line="288" w:lineRule="auto"/>
        <w:ind w:left="0"/>
        <w:jc w:val="left"/>
      </w:pPr>
      <w:r>
        <w:rPr>
          <w:rFonts w:eastAsia="等线" w:ascii="Arial" w:cs="Arial" w:hAnsi="Arial"/>
          <w:sz w:val="22"/>
        </w:rPr>
        <w:t>核心内容：节水型龙头、马桶实景（8张）、雨水回收系统设备及运行状态（1段视频、6张照片）、LED节能灯具及智能照明控制系统（1段视频、7张照片）、太阳能路灯实景及运行状态（1段视频、5张照片）、电气设备机房实景（1段视频、6张照片）。</w:t>
      </w:r>
    </w:p>
    <w:p>
      <w:pPr>
        <w:numPr>
          <w:numId w:val="11"/>
        </w:numPr>
        <w:spacing w:before="120" w:after="120" w:line="288" w:lineRule="auto"/>
        <w:ind w:left="0"/>
        <w:jc w:val="left"/>
      </w:pPr>
      <w:r>
        <w:rPr>
          <w:rFonts w:eastAsia="等线" w:ascii="Arial" w:cs="Arial" w:hAnsi="Arial"/>
          <w:sz w:val="22"/>
        </w:rPr>
        <w:t>对应绿建指标：节水与水资源利用、节能与能源利用（电气节能、可再生能源利用）。</w:t>
      </w:r>
    </w:p>
    <w:p>
      <w:pPr>
        <w:numPr>
          <w:numId w:val="12"/>
        </w:numPr>
        <w:spacing w:before="120" w:after="120" w:line="288" w:lineRule="auto"/>
        <w:ind w:left="0"/>
        <w:jc w:val="left"/>
      </w:pPr>
      <w:r>
        <w:rPr>
          <w:rFonts w:eastAsia="等线" w:ascii="Arial" w:cs="Arial" w:hAnsi="Arial"/>
          <w:sz w:val="22"/>
        </w:rPr>
        <w:t>关键佐证：影像中可清晰看到节水器具标识、雨水回收系统流量计显示（年均回收180m³）、LED灯具功率标注（展厅8.2W/㎡、办公区6.5W/㎡）、太阳能路灯（8盏）运行状态，与实测的人均日生活用水量120L、可再生能源利用量占总用电量1.2%等数据一致，佐证给排水、电气系统的节能节水设计落地。</w:t>
      </w:r>
    </w:p>
    <w:p>
      <w:pPr>
        <w:pStyle w:val="3"/>
        <w:spacing w:before="300" w:after="120" w:line="288" w:lineRule="auto"/>
        <w:ind w:left="0"/>
        <w:jc w:val="left"/>
        <w:outlineLvl w:val="2"/>
      </w:pPr>
      <w:bookmarkStart w:name="heading_6" w:id="6"/>
      <w:r>
        <w:rPr>
          <w:rFonts w:eastAsia="等线" w:ascii="Arial" w:cs="Arial" w:hAnsi="Arial"/>
          <w:b w:val="true"/>
          <w:sz w:val="30"/>
        </w:rPr>
        <w:t>（五）建筑文化传承元素影像（65张照片、6段视频）</w:t>
      </w:r>
      <w:bookmarkEnd w:id="6"/>
    </w:p>
    <w:p>
      <w:pPr>
        <w:numPr>
          <w:numId w:val="13"/>
        </w:numPr>
        <w:spacing w:before="120" w:after="120" w:line="288" w:lineRule="auto"/>
        <w:ind w:left="0"/>
        <w:jc w:val="left"/>
      </w:pPr>
      <w:r>
        <w:rPr>
          <w:rFonts w:eastAsia="等线" w:ascii="Arial" w:cs="Arial" w:hAnsi="Arial"/>
          <w:sz w:val="22"/>
        </w:rPr>
        <w:t>核心内容：建筑坡屋顶及仿青灰瓦细节（8张）、屋脊翘角造型（5张）、外墙仿青砖材质及金属装饰件（缠枝莲、如意纹）细节（12张）、门厅斗拱造型及地域文化浮雕（伏羲画卦、嫘祖养蚕）（1段视频、10张照片）、展厅展柜木构纹样及格栅装饰（回字纹、冰裂纹）（2段视频、12张照片）、天中文化展示区实景及传统建筑模型（2段视频、10张照片）、室外文化广场石板路及石灯笼等（1段视频、8张照片）。</w:t>
      </w:r>
    </w:p>
    <w:p>
      <w:pPr>
        <w:numPr>
          <w:numId w:val="14"/>
        </w:numPr>
        <w:spacing w:before="120" w:after="120" w:line="288" w:lineRule="auto"/>
        <w:ind w:left="0"/>
        <w:jc w:val="left"/>
      </w:pPr>
      <w:r>
        <w:rPr>
          <w:rFonts w:eastAsia="等线" w:ascii="Arial" w:cs="Arial" w:hAnsi="Arial"/>
          <w:sz w:val="22"/>
        </w:rPr>
        <w:t>对应绿建指标：人文与环境融合（地域文化传承）。</w:t>
      </w:r>
    </w:p>
    <w:p>
      <w:pPr>
        <w:numPr>
          <w:numId w:val="15"/>
        </w:numPr>
        <w:spacing w:before="120" w:after="120" w:line="288" w:lineRule="auto"/>
        <w:ind w:left="0"/>
        <w:jc w:val="left"/>
      </w:pPr>
      <w:r>
        <w:rPr>
          <w:rFonts w:eastAsia="等线" w:ascii="Arial" w:cs="Arial" w:hAnsi="Arial"/>
          <w:sz w:val="22"/>
        </w:rPr>
        <w:t>关键佐证：影像中清晰呈现传统建筑元素的尺寸（瓦型260mm×180mm、斗拱间距800mm、格栅间距150mm、浮雕2.5m×1.8m），与驻马店明清民居建筑元素、博物馆馆藏清代木雕纹样一致，佐证建筑文化传承设计的真实性，呼应博物馆“厚重天中，独韵千古”的核心设计理念，体现天中文化的传承与传播[3]。</w:t>
      </w:r>
    </w:p>
    <w:p>
      <w:pPr>
        <w:pStyle w:val="3"/>
        <w:spacing w:before="300" w:after="120" w:line="288" w:lineRule="auto"/>
        <w:ind w:left="0"/>
        <w:jc w:val="left"/>
        <w:outlineLvl w:val="2"/>
      </w:pPr>
      <w:bookmarkStart w:name="heading_7" w:id="7"/>
      <w:r>
        <w:rPr>
          <w:rFonts w:eastAsia="等线" w:ascii="Arial" w:cs="Arial" w:hAnsi="Arial"/>
          <w:b w:val="true"/>
          <w:sz w:val="30"/>
        </w:rPr>
        <w:t>（六）能耗计量设备影像（28张照片、2段视频）</w:t>
      </w:r>
      <w:bookmarkEnd w:id="7"/>
    </w:p>
    <w:p>
      <w:pPr>
        <w:numPr>
          <w:numId w:val="16"/>
        </w:numPr>
        <w:spacing w:before="120" w:after="120" w:line="288" w:lineRule="auto"/>
        <w:ind w:left="0"/>
        <w:jc w:val="left"/>
      </w:pPr>
      <w:r>
        <w:rPr>
          <w:rFonts w:eastAsia="等线" w:ascii="Arial" w:cs="Arial" w:hAnsi="Arial"/>
          <w:sz w:val="22"/>
        </w:rPr>
        <w:t>核心内容：暖通空调专用电表（6块）运行状态及计量数值（10张照片）、市政热力计量表及数值（8张照片、1段视频）、辅助电暖设备计量表（4张照片）、能耗数据记录现场（6张照片、1段视频）。</w:t>
      </w:r>
    </w:p>
    <w:p>
      <w:pPr>
        <w:numPr>
          <w:numId w:val="17"/>
        </w:numPr>
        <w:spacing w:before="120" w:after="120" w:line="288" w:lineRule="auto"/>
        <w:ind w:left="0"/>
        <w:jc w:val="left"/>
      </w:pPr>
      <w:r>
        <w:rPr>
          <w:rFonts w:eastAsia="等线" w:ascii="Arial" w:cs="Arial" w:hAnsi="Arial"/>
          <w:sz w:val="22"/>
        </w:rPr>
        <w:t>对应绿建指标：节能与能源利用（能耗计量与监测）。</w:t>
      </w:r>
    </w:p>
    <w:p>
      <w:pPr>
        <w:numPr>
          <w:numId w:val="18"/>
        </w:numPr>
        <w:spacing w:before="120" w:after="120" w:line="288" w:lineRule="auto"/>
        <w:ind w:left="0"/>
        <w:jc w:val="left"/>
      </w:pPr>
      <w:r>
        <w:rPr>
          <w:rFonts w:eastAsia="等线" w:ascii="Arial" w:cs="Arial" w:hAnsi="Arial"/>
          <w:sz w:val="22"/>
        </w:rPr>
        <w:t>关键佐证：影像中清晰拍摄电表、热力表的计量数值，与2022年1-10月暖通空调系统总能耗339376kWh、市政热力消耗410.66GJ（折算电能耗47760kWh）等实测数据一致，电表显示数值与校准证书（JJ-ZMD-20221030）校准后的数值吻合，佐证能耗数据的真实性、准确性。</w:t>
      </w:r>
    </w:p>
    <w:p>
      <w:pPr>
        <w:pStyle w:val="2"/>
        <w:spacing w:before="320" w:after="120" w:line="288" w:lineRule="auto"/>
        <w:ind w:left="0"/>
        <w:jc w:val="left"/>
        <w:outlineLvl w:val="1"/>
      </w:pPr>
      <w:bookmarkStart w:name="heading_8" w:id="8"/>
      <w:r>
        <w:rPr>
          <w:rFonts w:eastAsia="等线" w:ascii="Arial" w:cs="Arial" w:hAnsi="Arial"/>
          <w:b w:val="true"/>
          <w:sz w:val="32"/>
        </w:rPr>
        <w:t>三、影像资料真实性、合规性说明</w:t>
      </w:r>
      <w:bookmarkEnd w:id="8"/>
    </w:p>
    <w:p>
      <w:pPr>
        <w:numPr>
          <w:numId w:val="19"/>
        </w:numPr>
        <w:spacing w:before="120" w:after="120" w:line="288" w:lineRule="auto"/>
        <w:ind w:left="0"/>
        <w:jc w:val="left"/>
      </w:pPr>
      <w:r>
        <w:rPr>
          <w:rFonts w:eastAsia="等线" w:ascii="Arial" w:cs="Arial" w:hAnsi="Arial"/>
          <w:sz w:val="22"/>
        </w:rPr>
        <w:t>真实性：本次采集的所有影像资料均为驻马店博物馆现场实地采集，拍摄时间、地点、内容均真实有效，无后期修图、合成、篡改等情况；影像内容与项目实际情况、前期方案设计论证报告、能耗运行记录、第三方检测报告完全一致，可通过影像文件属性（拍摄时间、地点、设备信息）、现场核查等方式验证，确保影像资料可追溯。</w:t>
      </w:r>
    </w:p>
    <w:p>
      <w:pPr>
        <w:numPr>
          <w:numId w:val="20"/>
        </w:numPr>
        <w:spacing w:before="120" w:after="120" w:line="288" w:lineRule="auto"/>
        <w:ind w:left="0"/>
        <w:jc w:val="left"/>
      </w:pPr>
      <w:r>
        <w:rPr>
          <w:rFonts w:eastAsia="等线" w:ascii="Arial" w:cs="Arial" w:hAnsi="Arial"/>
          <w:sz w:val="22"/>
        </w:rPr>
        <w:t>合规性：影像采集严格遵循《绿色建筑评价标准》（GB/T 50378-2019）相关要求，采集内容全面覆盖绿建二星级评价核心指标，影像规格、采集流程符合绿建评价系统填报要求；采集设备经专业校准，确保影像及相关数据准确无误，可直接用于绿建评价系统填报及相关核查工作。</w:t>
      </w:r>
    </w:p>
    <w:p>
      <w:pPr>
        <w:numPr>
          <w:numId w:val="21"/>
        </w:numPr>
        <w:spacing w:before="120" w:after="120" w:line="288" w:lineRule="auto"/>
        <w:ind w:left="0"/>
        <w:jc w:val="left"/>
      </w:pPr>
      <w:r>
        <w:rPr>
          <w:rFonts w:eastAsia="等线" w:ascii="Arial" w:cs="Arial" w:hAnsi="Arial"/>
          <w:sz w:val="22"/>
        </w:rPr>
        <w:t>归档管理：所有影像资料均采用“纸质打印+电子备份”双归档模式，电子档存储于驻马店博物馆行政部专用服务器（服务器编号：ZMD-BWG-XZ-2022），纸质打印件装订成册（共8册，编号：YXP-ZMD-BWG-2022001至2022008），留存于博物馆行政部档案柜，可随时接受绿建评价部门、驻马店市住房和城乡建设局、质量技术监督局等相关单位的核查。</w:t>
      </w:r>
    </w:p>
    <w:p>
      <w:pPr>
        <w:numPr>
          <w:numId w:val="22"/>
        </w:numPr>
        <w:spacing w:before="120" w:after="120" w:line="288" w:lineRule="auto"/>
        <w:ind w:left="0"/>
        <w:jc w:val="left"/>
      </w:pPr>
      <w:r>
        <w:rPr>
          <w:rFonts w:eastAsia="等线" w:ascii="Arial" w:cs="Arial" w:hAnsi="Arial"/>
          <w:sz w:val="22"/>
        </w:rPr>
        <w:t>责任说明：采集单位（驻马店博物馆）对本次影像资料的真实性、合规性、关联性负责，如发现影像资料存在篡改、虚构等情况，由采集单位承担全部相关责任；采集人员、负责人对影像采集过程及内容的真实性签字确认，确保影像资料可追溯、可核查。</w:t>
      </w:r>
    </w:p>
    <w:p>
      <w:pPr>
        <w:pStyle w:val="2"/>
        <w:spacing w:before="320" w:after="120" w:line="288" w:lineRule="auto"/>
        <w:ind w:left="0"/>
        <w:jc w:val="left"/>
        <w:outlineLvl w:val="1"/>
      </w:pPr>
      <w:bookmarkStart w:name="heading_9" w:id="9"/>
      <w:r>
        <w:rPr>
          <w:rFonts w:eastAsia="等线" w:ascii="Arial" w:cs="Arial" w:hAnsi="Arial"/>
          <w:b w:val="true"/>
          <w:sz w:val="32"/>
        </w:rPr>
        <w:t>四、影像资料与绿建评价系统填报对应说明</w:t>
      </w:r>
      <w:bookmarkEnd w:id="9"/>
    </w:p>
    <w:p>
      <w:pPr>
        <w:spacing w:before="120" w:after="120" w:line="288" w:lineRule="auto"/>
        <w:ind w:left="0"/>
        <w:jc w:val="left"/>
      </w:pPr>
      <w:r>
        <w:rPr>
          <w:rFonts w:eastAsia="等线" w:ascii="Arial" w:cs="Arial" w:hAnsi="Arial"/>
          <w:sz w:val="22"/>
        </w:rPr>
        <w:t>1.  填报对应：本次生成的影像资料及本说明，可直接对应绿建评价系统中“方案设计落地情况”“设备运行状态”“能耗计量监测”“地域文化传承”等相关填报模块，每张照片、每段视频均标注对应填报节点，可按系统要求上传影像文件及本说明扫描件。</w:t>
      </w:r>
    </w:p>
    <w:p>
      <w:pPr>
        <w:spacing w:before="120" w:after="120" w:line="288" w:lineRule="auto"/>
        <w:ind w:left="0"/>
        <w:jc w:val="left"/>
      </w:pPr>
      <w:r>
        <w:rPr>
          <w:rFonts w:eastAsia="等线" w:ascii="Arial" w:cs="Arial" w:hAnsi="Arial"/>
          <w:sz w:val="22"/>
        </w:rPr>
        <w:t>2.  核查对应：影像资料与前期方案设计论证报告、能耗运行记录、第三方检测报告、校准证书等佐证材料相互对应，形成完整的证据链，可配合相关材料接受绿建评价部门的现场核查，确保绿建评价申报工作顺利推进，同时契合博物馆作为文化地标及国家二级博物馆的规范管理要求。</w:t>
      </w:r>
    </w:p>
    <w:p>
      <w:pPr>
        <w:pStyle w:val="2"/>
        <w:spacing w:before="320" w:after="120" w:line="288" w:lineRule="auto"/>
        <w:ind w:left="0"/>
        <w:jc w:val="left"/>
        <w:outlineLvl w:val="1"/>
      </w:pPr>
      <w:bookmarkStart w:name="heading_10" w:id="10"/>
      <w:r>
        <w:rPr>
          <w:rFonts w:eastAsia="等线" w:ascii="Arial" w:cs="Arial" w:hAnsi="Arial"/>
          <w:b w:val="true"/>
          <w:sz w:val="32"/>
        </w:rPr>
        <w:t>五、签字确认（佐证影像资料真实性）</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影像采集负责人（签字）：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日期：2022年10月31日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技术负责人（签字）：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日期：2022年10月31日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采集单位（盖章）：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日期：2022年11月1日</w:t>
            </w:r>
          </w:p>
        </w:tc>
      </w:tr>
    </w:tbl>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7002676">
    <w:lvl>
      <w:numFmt w:val="bullet"/>
      <w:suff w:val="tab"/>
      <w:lvlText w:val="•"/>
      <w:rPr>
        <w:color w:val="3370ff"/>
      </w:rPr>
    </w:lvl>
  </w:abstractNum>
  <w:abstractNum w:abstractNumId="7002677">
    <w:lvl>
      <w:numFmt w:val="bullet"/>
      <w:suff w:val="tab"/>
      <w:lvlText w:val="•"/>
      <w:rPr>
        <w:color w:val="3370ff"/>
      </w:rPr>
    </w:lvl>
  </w:abstractNum>
  <w:abstractNum w:abstractNumId="7002678">
    <w:lvl>
      <w:numFmt w:val="bullet"/>
      <w:suff w:val="tab"/>
      <w:lvlText w:val="•"/>
      <w:rPr>
        <w:color w:val="3370ff"/>
      </w:rPr>
    </w:lvl>
  </w:abstractNum>
  <w:abstractNum w:abstractNumId="7002679">
    <w:lvl>
      <w:numFmt w:val="bullet"/>
      <w:suff w:val="tab"/>
      <w:lvlText w:val="•"/>
      <w:rPr>
        <w:color w:val="3370ff"/>
      </w:rPr>
    </w:lvl>
  </w:abstractNum>
  <w:abstractNum w:abstractNumId="7002680">
    <w:lvl>
      <w:numFmt w:val="bullet"/>
      <w:suff w:val="tab"/>
      <w:lvlText w:val="•"/>
      <w:rPr>
        <w:color w:val="3370ff"/>
      </w:rPr>
    </w:lvl>
  </w:abstractNum>
  <w:abstractNum w:abstractNumId="7002681">
    <w:lvl>
      <w:numFmt w:val="bullet"/>
      <w:suff w:val="tab"/>
      <w:lvlText w:val="•"/>
      <w:rPr>
        <w:color w:val="3370ff"/>
      </w:rPr>
    </w:lvl>
  </w:abstractNum>
  <w:abstractNum w:abstractNumId="7002682">
    <w:lvl>
      <w:numFmt w:val="bullet"/>
      <w:suff w:val="tab"/>
      <w:lvlText w:val="•"/>
      <w:rPr>
        <w:color w:val="3370ff"/>
      </w:rPr>
    </w:lvl>
  </w:abstractNum>
  <w:abstractNum w:abstractNumId="7002683">
    <w:lvl>
      <w:numFmt w:val="bullet"/>
      <w:suff w:val="tab"/>
      <w:lvlText w:val="•"/>
      <w:rPr>
        <w:color w:val="3370ff"/>
      </w:rPr>
    </w:lvl>
  </w:abstractNum>
  <w:abstractNum w:abstractNumId="7002684">
    <w:lvl>
      <w:numFmt w:val="bullet"/>
      <w:suff w:val="tab"/>
      <w:lvlText w:val="•"/>
      <w:rPr>
        <w:color w:val="3370ff"/>
      </w:rPr>
    </w:lvl>
  </w:abstractNum>
  <w:abstractNum w:abstractNumId="7002685">
    <w:lvl>
      <w:numFmt w:val="bullet"/>
      <w:suff w:val="tab"/>
      <w:lvlText w:val="•"/>
      <w:rPr>
        <w:color w:val="3370ff"/>
      </w:rPr>
    </w:lvl>
  </w:abstractNum>
  <w:abstractNum w:abstractNumId="7002686">
    <w:lvl>
      <w:numFmt w:val="bullet"/>
      <w:suff w:val="tab"/>
      <w:lvlText w:val="•"/>
      <w:rPr>
        <w:color w:val="3370ff"/>
      </w:rPr>
    </w:lvl>
  </w:abstractNum>
  <w:abstractNum w:abstractNumId="7002687">
    <w:lvl>
      <w:numFmt w:val="bullet"/>
      <w:suff w:val="tab"/>
      <w:lvlText w:val="•"/>
      <w:rPr>
        <w:color w:val="3370ff"/>
      </w:rPr>
    </w:lvl>
  </w:abstractNum>
  <w:abstractNum w:abstractNumId="7002688">
    <w:lvl>
      <w:numFmt w:val="bullet"/>
      <w:suff w:val="tab"/>
      <w:lvlText w:val="•"/>
      <w:rPr>
        <w:color w:val="3370ff"/>
      </w:rPr>
    </w:lvl>
  </w:abstractNum>
  <w:abstractNum w:abstractNumId="7002689">
    <w:lvl>
      <w:numFmt w:val="bullet"/>
      <w:suff w:val="tab"/>
      <w:lvlText w:val="•"/>
      <w:rPr>
        <w:color w:val="3370ff"/>
      </w:rPr>
    </w:lvl>
  </w:abstractNum>
  <w:abstractNum w:abstractNumId="7002690">
    <w:lvl>
      <w:numFmt w:val="bullet"/>
      <w:suff w:val="tab"/>
      <w:lvlText w:val="•"/>
      <w:rPr>
        <w:color w:val="3370ff"/>
      </w:rPr>
    </w:lvl>
  </w:abstractNum>
  <w:abstractNum w:abstractNumId="7002691">
    <w:lvl>
      <w:numFmt w:val="bullet"/>
      <w:suff w:val="tab"/>
      <w:lvlText w:val="•"/>
      <w:rPr>
        <w:color w:val="3370ff"/>
      </w:rPr>
    </w:lvl>
  </w:abstractNum>
  <w:abstractNum w:abstractNumId="7002692">
    <w:lvl>
      <w:numFmt w:val="bullet"/>
      <w:suff w:val="tab"/>
      <w:lvlText w:val="•"/>
      <w:rPr>
        <w:color w:val="3370ff"/>
      </w:rPr>
    </w:lvl>
  </w:abstractNum>
  <w:abstractNum w:abstractNumId="7002693">
    <w:lvl>
      <w:numFmt w:val="bullet"/>
      <w:suff w:val="tab"/>
      <w:lvlText w:val="•"/>
      <w:rPr>
        <w:color w:val="3370ff"/>
      </w:rPr>
    </w:lvl>
  </w:abstractNum>
  <w:abstractNum w:abstractNumId="7002694">
    <w:lvl>
      <w:start w:val="1"/>
      <w:numFmt w:val="decimal"/>
      <w:suff w:val="tab"/>
      <w:lvlText w:val="%1."/>
      <w:rPr>
        <w:color w:val="3370ff"/>
      </w:rPr>
    </w:lvl>
  </w:abstractNum>
  <w:abstractNum w:abstractNumId="7002695">
    <w:lvl>
      <w:start w:val="2"/>
      <w:numFmt w:val="decimal"/>
      <w:suff w:val="tab"/>
      <w:lvlText w:val="%1."/>
      <w:rPr>
        <w:color w:val="3370ff"/>
      </w:rPr>
    </w:lvl>
  </w:abstractNum>
  <w:abstractNum w:abstractNumId="7002696">
    <w:lvl>
      <w:start w:val="3"/>
      <w:numFmt w:val="decimal"/>
      <w:suff w:val="tab"/>
      <w:lvlText w:val="%1."/>
      <w:rPr>
        <w:color w:val="3370ff"/>
      </w:rPr>
    </w:lvl>
  </w:abstractNum>
  <w:abstractNum w:abstractNumId="7002697">
    <w:lvl>
      <w:start w:val="4"/>
      <w:numFmt w:val="decimal"/>
      <w:suff w:val="tab"/>
      <w:lvlText w:val="%1."/>
      <w:rPr>
        <w:color w:val="3370ff"/>
      </w:rPr>
    </w:lvl>
  </w:abstractNum>
  <w:num w:numId="1">
    <w:abstractNumId w:val="7002676"/>
  </w:num>
  <w:num w:numId="2">
    <w:abstractNumId w:val="7002677"/>
  </w:num>
  <w:num w:numId="3">
    <w:abstractNumId w:val="7002678"/>
  </w:num>
  <w:num w:numId="4">
    <w:abstractNumId w:val="7002679"/>
  </w:num>
  <w:num w:numId="5">
    <w:abstractNumId w:val="7002680"/>
  </w:num>
  <w:num w:numId="6">
    <w:abstractNumId w:val="7002681"/>
  </w:num>
  <w:num w:numId="7">
    <w:abstractNumId w:val="7002682"/>
  </w:num>
  <w:num w:numId="8">
    <w:abstractNumId w:val="7002683"/>
  </w:num>
  <w:num w:numId="9">
    <w:abstractNumId w:val="7002684"/>
  </w:num>
  <w:num w:numId="10">
    <w:abstractNumId w:val="7002685"/>
  </w:num>
  <w:num w:numId="11">
    <w:abstractNumId w:val="7002686"/>
  </w:num>
  <w:num w:numId="12">
    <w:abstractNumId w:val="7002687"/>
  </w:num>
  <w:num w:numId="13">
    <w:abstractNumId w:val="7002688"/>
  </w:num>
  <w:num w:numId="14">
    <w:abstractNumId w:val="7002689"/>
  </w:num>
  <w:num w:numId="15">
    <w:abstractNumId w:val="7002690"/>
  </w:num>
  <w:num w:numId="16">
    <w:abstractNumId w:val="7002691"/>
  </w:num>
  <w:num w:numId="17">
    <w:abstractNumId w:val="7002692"/>
  </w:num>
  <w:num w:numId="18">
    <w:abstractNumId w:val="7002693"/>
  </w:num>
  <w:num w:numId="19">
    <w:abstractNumId w:val="7002694"/>
  </w:num>
  <w:num w:numId="20">
    <w:abstractNumId w:val="7002695"/>
  </w:num>
  <w:num w:numId="21">
    <w:abstractNumId w:val="7002696"/>
  </w:num>
  <w:num w:numId="22">
    <w:abstractNumId w:val="7002697"/>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2026-03-28T14:07:32Z</dcterms:created>
  <dc:creator>Apache POI</dc:creator>
</cp:coreProperties>
</file>