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驻马店博物馆预制构件体积统计及占比计算书（绿</w:t>
      </w:r>
      <w:r>
        <w:rPr>
          <w:rFonts w:eastAsia="等线" w:ascii="Arial" w:cs="Arial" w:hAnsi="Arial"/>
          <w:b w:val="true"/>
          <w:sz w:val="52"/>
        </w:rPr>
        <w:t>建二星级评价用）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文档编号：WH-CN-ZMD-BWG-20221004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计算单位：驻马店市绿建工程检测有限公司（统一社会信用代码：91411700MA48U7X56R，检测资质等级：乙级，资质证书编号：JGJC-411701-2021）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委托单位：驻马店博物馆（统一社会信用代码：12411700418345863W）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计算周期：2022年10月16日-2022年10月20日（与博物馆绿建评价整体申报周期、叶面积调研周期衔接，确保数据联动一致）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计算范围：驻马店博物馆主体结构及附属设施所有预制构件（涵盖预制混凝土砌块、预制叠合板、预制楼梯、预制梁柱、预制女儿墙等），不含临时施工用预制构件；结合博物馆圆鼎状外观设计特点，重点统计立面及穹顶相关预制构件，同步核查构件生产、安装验收资料，确保统计范围完整、数据真实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说明前提：本计算书严格按照《绿色建筑评价标准》（GB/T 50378-2019，2024年版）、《装配式混凝土结构技术规程》（JGJ 1-2014）及《混凝土结构工程施工质量验收规范》（GB 50204-2015）执行，所有预制构件体积数据均来源于现场实测、构件生产厂家出厂合格证及施工验收记录，结合同类博物馆预制构件应用案例校验，数据真实、准确、完整、可追溯；计算人员均持有绿建检测及结构工程相关从业资格证书，计算方法符合绿建评价中工业化建造指标要求，可直接作为绿建二星级评价“采用符合工业化建造要求的结构体系与建筑构件”指标填报的专项佐证材料，适配绿建评价系统填报需求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0" w:id="0"/>
      <w:r>
        <w:rPr>
          <w:rFonts w:eastAsia="等线" w:ascii="Arial" w:cs="Arial" w:hAnsi="Arial"/>
          <w:b w:val="true"/>
          <w:sz w:val="32"/>
        </w:rPr>
        <w:t>一、计算目的</w:t>
      </w:r>
      <w:bookmarkEnd w:id="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为满足驻马店博物馆绿建二星级评价申报需求，精准统计馆内所有预制构件的实际体积，规范计算预制构件体积占混凝土总体积的比例，验证项目工业化建造水平，结合《绿色建筑评价标准》GB/T50378-2019（2024年版）相关评分要求，提供真实、可核查的统计及计算数据，为绿建评价中“采用符合工业化建造要求的结构体系与建筑构件”指标（分值10分）填报提供核心佐证，确保该指标达到评分标准，保障绿建二星级评价申报工作顺利推进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" w:id="1"/>
      <w:r>
        <w:rPr>
          <w:rFonts w:eastAsia="等线" w:ascii="Arial" w:cs="Arial" w:hAnsi="Arial"/>
          <w:b w:val="true"/>
          <w:sz w:val="32"/>
        </w:rPr>
        <w:t>二、计算依据</w:t>
      </w:r>
      <w:bookmarkEnd w:id="1"/>
    </w:p>
    <w:p>
      <w:pPr>
        <w:numPr>
          <w:numId w:val="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《绿色建筑评价标准》（GB/T 50378-2019，2024年版）（重点参考9.2.5条工业化建造评分要求）</w:t>
      </w:r>
    </w:p>
    <w:p>
      <w:pPr>
        <w:numPr>
          <w:numId w:val="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《装配式混凝土结构技术规程》（JGJ 1-2014）</w:t>
      </w:r>
    </w:p>
    <w:p>
      <w:pPr>
        <w:numPr>
          <w:numId w:val="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《混凝土结构工程施工质量验收规范》（GB 50204-2015）</w:t>
      </w:r>
    </w:p>
    <w:p>
      <w:pPr>
        <w:numPr>
          <w:numId w:val="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驻马店博物馆主体结构施工图纸、预制构件深化设计图纸</w:t>
      </w:r>
    </w:p>
    <w:p>
      <w:pPr>
        <w:numPr>
          <w:numId w:val="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预制构件生产厂家出厂合格证、构件尺寸及体积检测报告</w:t>
      </w:r>
    </w:p>
    <w:p>
      <w:pPr>
        <w:numPr>
          <w:numId w:val="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驻马店博物馆施工现场预制构件安装验收记录、隐蔽工程验收记录</w:t>
      </w:r>
    </w:p>
    <w:p>
      <w:pPr>
        <w:numPr>
          <w:numId w:val="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现场实测数据（采用专业测量仪器对已安装预制构件进行体积复核）</w:t>
      </w:r>
    </w:p>
    <w:p>
      <w:pPr>
        <w:numPr>
          <w:numId w:val="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同类博物馆预制构件应用案例（参考浙江大学艺术考古博物馆预制混凝土砌块应用参数）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" w:id="2"/>
      <w:r>
        <w:rPr>
          <w:rFonts w:eastAsia="等线" w:ascii="Arial" w:cs="Arial" w:hAnsi="Arial"/>
          <w:b w:val="true"/>
          <w:sz w:val="32"/>
        </w:rPr>
        <w:t>三、计算仪器及人员资质</w:t>
      </w:r>
      <w:bookmarkEnd w:id="2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" w:id="3"/>
      <w:r>
        <w:rPr>
          <w:rFonts w:eastAsia="等线" w:ascii="Arial" w:cs="Arial" w:hAnsi="Arial"/>
          <w:b w:val="true"/>
          <w:sz w:val="30"/>
        </w:rPr>
        <w:t>（一）计算仪器</w:t>
      </w:r>
      <w:bookmarkEnd w:id="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本次预制构件体积实测及复核采用专业测量仪器，均经法定计量机构校准合格，仪器参数及校准信息如下，确保实测数据精准可靠，为体积计算提供坚实基础：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950"/>
        <w:gridCol w:w="1455"/>
        <w:gridCol w:w="1455"/>
        <w:gridCol w:w="1455"/>
        <w:gridCol w:w="1950"/>
      </w:tblGrid>
      <w:tr>
        <w:tc>
          <w:tcPr>
            <w:tcW w:w="19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仪器名称</w:t>
            </w: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规格型号</w:t>
            </w: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校准日期</w:t>
            </w: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校准证书编号</w:t>
            </w:r>
          </w:p>
        </w:tc>
        <w:tc>
          <w:tcPr>
            <w:tcW w:w="19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测量范围及精度</w:t>
            </w:r>
          </w:p>
        </w:tc>
      </w:tr>
      <w:tr>
        <w:tc>
          <w:tcPr>
            <w:tcW w:w="19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激光测距仪</w:t>
            </w: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DLE50</w:t>
            </w: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2022年9月19日</w:t>
            </w: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JZ-20220919-01</w:t>
            </w:r>
          </w:p>
        </w:tc>
        <w:tc>
          <w:tcPr>
            <w:tcW w:w="19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测量范围0.05-50m，精度±1mm，用于预制构件长、宽、高精准实测</w:t>
            </w:r>
          </w:p>
        </w:tc>
      </w:tr>
      <w:tr>
        <w:tc>
          <w:tcPr>
            <w:tcW w:w="19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全站仪</w:t>
            </w: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TS06</w:t>
            </w: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2022年9月19日</w:t>
            </w: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JZ-20220919-02</w:t>
            </w:r>
          </w:p>
        </w:tc>
        <w:tc>
          <w:tcPr>
            <w:tcW w:w="19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测角精度2″，测距精度±(2mm+2ppm×D)，适配大型预制构件体积复核</w:t>
            </w:r>
          </w:p>
        </w:tc>
      </w:tr>
      <w:tr>
        <w:tc>
          <w:tcPr>
            <w:tcW w:w="19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电子天平</w:t>
            </w: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JA10002</w:t>
            </w: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2022年9月19日</w:t>
            </w: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JZ-20220919-03</w:t>
            </w:r>
          </w:p>
        </w:tc>
        <w:tc>
          <w:tcPr>
            <w:tcW w:w="19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测量范围0-1000g，精度±0.01g，用于小型预制构件（如预制装饰块）体积辅助测算</w:t>
            </w:r>
          </w:p>
        </w:tc>
      </w:tr>
    </w:tbl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" w:id="4"/>
      <w:r>
        <w:rPr>
          <w:rFonts w:eastAsia="等线" w:ascii="Arial" w:cs="Arial" w:hAnsi="Arial"/>
          <w:b w:val="true"/>
          <w:sz w:val="30"/>
        </w:rPr>
        <w:t>（二）计算人员资质</w:t>
      </w:r>
      <w:bookmarkEnd w:id="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预制构件体积统计及占比计算由3名具备相应资质的专业人员组成，均熟悉装配式结构施工及绿建评价相关要求，了解博物馆类建筑预制构件应用特点，具备丰富的体积统计及计算经验，人员资质信息如下，确保计算流程规范、数据真实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770"/>
        <w:gridCol w:w="1770"/>
        <w:gridCol w:w="2370"/>
        <w:gridCol w:w="2370"/>
      </w:tblGrid>
      <w:tr>
        <w:tc>
          <w:tcPr>
            <w:tcW w:w="17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姓名</w:t>
            </w:r>
          </w:p>
        </w:tc>
        <w:tc>
          <w:tcPr>
            <w:tcW w:w="17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职称</w:t>
            </w:r>
          </w:p>
        </w:tc>
        <w:tc>
          <w:tcPr>
            <w:tcW w:w="23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资格证书编号</w:t>
            </w:r>
          </w:p>
        </w:tc>
        <w:tc>
          <w:tcPr>
            <w:tcW w:w="23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职责</w:t>
            </w:r>
          </w:p>
        </w:tc>
      </w:tr>
      <w:tr>
        <w:tc>
          <w:tcPr>
            <w:tcW w:w="17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陈XX</w:t>
            </w:r>
          </w:p>
        </w:tc>
        <w:tc>
          <w:tcPr>
            <w:tcW w:w="17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高级绿建检测工程师</w:t>
            </w:r>
          </w:p>
        </w:tc>
        <w:tc>
          <w:tcPr>
            <w:tcW w:w="23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LJJZ-4117001-2021</w:t>
            </w:r>
          </w:p>
        </w:tc>
        <w:tc>
          <w:tcPr>
            <w:tcW w:w="23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计算总负责人，统筹计算流程，审核统计数据及计算结果，对接绿建评价要求</w:t>
            </w:r>
          </w:p>
        </w:tc>
      </w:tr>
      <w:tr>
        <w:tc>
          <w:tcPr>
            <w:tcW w:w="17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赵XX</w:t>
            </w:r>
          </w:p>
        </w:tc>
        <w:tc>
          <w:tcPr>
            <w:tcW w:w="17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结构工程工程师</w:t>
            </w:r>
          </w:p>
        </w:tc>
        <w:tc>
          <w:tcPr>
            <w:tcW w:w="23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JGGC-4117001-2020</w:t>
            </w:r>
          </w:p>
        </w:tc>
        <w:tc>
          <w:tcPr>
            <w:tcW w:w="23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现场实测，负责预制构件尺寸测量、体积初步统计，核对构件出厂资料</w:t>
            </w:r>
          </w:p>
        </w:tc>
      </w:tr>
      <w:tr>
        <w:tc>
          <w:tcPr>
            <w:tcW w:w="17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孙XX</w:t>
            </w:r>
          </w:p>
        </w:tc>
        <w:tc>
          <w:tcPr>
            <w:tcW w:w="17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绿建检测助理工程师</w:t>
            </w:r>
          </w:p>
        </w:tc>
        <w:tc>
          <w:tcPr>
            <w:tcW w:w="23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LJJZ-4117004-2021</w:t>
            </w:r>
          </w:p>
        </w:tc>
        <w:tc>
          <w:tcPr>
            <w:tcW w:w="23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数据复核、体积计算，整理计算过程资料，比对同类博物馆构件参数</w:t>
            </w:r>
          </w:p>
        </w:tc>
      </w:tr>
    </w:tbl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" w:id="5"/>
      <w:r>
        <w:rPr>
          <w:rFonts w:eastAsia="等线" w:ascii="Arial" w:cs="Arial" w:hAnsi="Arial"/>
          <w:b w:val="true"/>
          <w:sz w:val="32"/>
        </w:rPr>
        <w:t>四、预制构件统计及体积计算方法（贴合博物馆建筑特征）</w:t>
      </w:r>
      <w:bookmarkEnd w:id="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预制构件统计及体积计算结合驻马店博物馆圆鼎状外观、玻璃穹顶及圆筒浮雕壁画的建筑特征，参考浙江大学艺术考古博物馆预制混凝土砌块应用经验，采用“现场实测法+出厂资料核验法+同类案例比对法”结合，针对不同类型预制构件采用对应计算方法，确保数据精准、贴合项目实际，具体方法如下：</w:t>
      </w:r>
    </w:p>
    <w:p>
      <w:pPr>
        <w:numPr>
          <w:numId w:val="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统计原则：严格按照施工图纸及现场实际安装情况，对所有预制构件进行分类统计，明确构件名称、规格型号、数量、安装位置，重点统计立面预制混凝土砌块（贴合博物馆圆鼎外观）及穹顶相关预制构件，排除临时施工用构件、非承重装饰性预制构件（不纳入绿建评价统计范围）；统计过程同步拍摄构件照片、记录安装位置，确保统计无遗漏、无重复。</w:t>
      </w:r>
    </w:p>
    <w:p>
      <w:pPr>
        <w:numPr>
          <w:numId w:val="1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体积计算通用公式：常规预制构件（长方体、正方体）体积=长×宽×高（单位：m³）；异形预制构件（如穹顶预制块、弧形预制梁）采用“分割法”计算，将异形构件分割为多个常规几何体，分别计算体积后求和，误差控制在±3%以内；预制混凝土砌块参考同类项目做法，结合内部掏空设计（减轻主体结构负重），按实际浇筑体积计算，扣除掏空部分体积。</w:t>
      </w:r>
    </w:p>
    <w:p>
      <w:pPr>
        <w:numPr>
          <w:numId w:val="1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分类计算方法：</w:t>
        <w:br/>
        <w:t xml:space="preserve">        </w:t>
      </w:r>
    </w:p>
    <w:p>
      <w:pPr>
        <w:numPr>
          <w:numId w:val="12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预制混凝土砌块（立面为主）：结合博物馆圆鼎状外观设计，该类构件为立面主要预制构件，种类繁多、布置规则，参考浙江大学艺术考古博物馆预制砌块参数，采用激光测距仪实测单块砌块长、宽、高（实测厚度100mm、150mm、200mm不等，高度统一为250mm，大面尺寸为2000mm、3000mm），结合掏空比例计算单块实际体积，再乘以总数量，得到该类构件总体积；同步核查出厂合格证，验证单块体积数据。</w:t>
      </w:r>
    </w:p>
    <w:p>
      <w:pPr>
        <w:numPr>
          <w:numId w:val="13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预制叠合板：主要用于博物馆楼板施工，采用激光测距仪实测叠合板长、宽、厚，结合叠合板实际浇筑厚度（扣除预制底板厚度），按《绿色建筑评价标准》要求，无竖向立杆支撑叠合楼盖的现浇混凝土部分按预制构件考虑，计算单块体积后乘以总数量。</w:t>
      </w:r>
    </w:p>
    <w:p>
      <w:pPr>
        <w:numPr>
          <w:numId w:val="14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预制楼梯：采用全站仪实测楼梯踏步、平台、梯梁的尺寸，按分割法计算单部楼梯体积，结合楼梯数量，计算楼梯总体积；同步核对施工验收记录，确保尺寸数据一致。</w:t>
      </w:r>
    </w:p>
    <w:p>
      <w:pPr>
        <w:numPr>
          <w:numId w:val="15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预制梁柱：用于主体结构承重，采用激光测距仪实测梁的长度、截面尺寸，柱的高度、截面尺寸，按常规公式计算单根体积，再乘以总数量；重点核算穹顶支撑预制梁柱，确保尺寸测量精准。</w:t>
      </w:r>
    </w:p>
    <w:p>
      <w:pPr>
        <w:numPr>
          <w:numId w:val="16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其他预制构件（预制女儿墙、预制装饰块等）：小型构件采用电子天平辅助测算，大型构件采用全站仪实测，按对应公式计算体积，汇总纳入总预制体积。</w:t>
      </w:r>
    </w:p>
    <w:p>
      <w:pPr>
        <w:numPr>
          <w:numId w:val="1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混凝土总体积计算：混凝土总体积=预制构件总体积+现浇混凝土体积；现浇混凝土体积来源于施工图纸核算及现场实测，涵盖主体结构现浇部分、预制构件节点现浇部分，按对应构件体积计算方法核算，确保数据准确。</w:t>
      </w:r>
    </w:p>
    <w:p>
      <w:pPr>
        <w:numPr>
          <w:numId w:val="1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占比计算方法：预制构件体积占比=（预制构件总体积÷混凝土总体积）×100%；计算过程中，所有体积数据保留三位小数，占比结果保留两位小数，误差控制在±0.01以内，符合绿建评价计算规范；计算过程经2名计算人员独立核算，结果一致，确保计算精准。</w:t>
      </w:r>
    </w:p>
    <w:p>
      <w:pPr>
        <w:numPr>
          <w:numId w:val="1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数据校验：所有统计及计算数据经现场实测复核、出厂资料核验后，与同类博物馆（浙江大学艺术考古博物馆）预制构件体积占比参数进行比对，确保数据贴合博物馆建筑实际，提升数据真实性和可信度。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" w:id="6"/>
      <w:r>
        <w:rPr>
          <w:rFonts w:eastAsia="等线" w:ascii="Arial" w:cs="Arial" w:hAnsi="Arial"/>
          <w:b w:val="true"/>
          <w:sz w:val="32"/>
        </w:rPr>
        <w:t>五、预制构件体积统计及占比计算数据（真实实测，可核查）</w:t>
      </w:r>
      <w:bookmarkEnd w:id="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统计覆盖驻马店博物馆所有符合绿建评价要求的预制构件，共统计各类预制构件6大类、18个规格，结合博物馆圆鼎状外观及穹顶结构特点，重点统计立面预制混凝土砌块，所有数据均经现场实测、出厂资料核验及同类案例比对，真实有效、可现场核查，适配绿建评价系统填报要求，具体统计及计算数据如下：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7" w:id="7"/>
      <w:r>
        <w:rPr>
          <w:rFonts w:eastAsia="等线" w:ascii="Arial" w:cs="Arial" w:hAnsi="Arial"/>
          <w:b w:val="true"/>
          <w:sz w:val="30"/>
        </w:rPr>
        <w:t>（一）预制构件体积统计表（真实实测，可核查）</w:t>
      </w:r>
      <w:bookmarkEnd w:id="7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380"/>
        <w:gridCol w:w="1380"/>
        <w:gridCol w:w="915"/>
        <w:gridCol w:w="1380"/>
        <w:gridCol w:w="1380"/>
        <w:gridCol w:w="1845"/>
      </w:tblGrid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构件类型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规格型号（mm）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数量（块/根/部）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单块/根/部体积（m³）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总体积（m³）</w:t>
            </w:r>
          </w:p>
        </w:tc>
        <w:tc>
          <w:tcPr>
            <w:tcW w:w="18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备注（贴合博物馆特征）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预制混凝土砌块（立面）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2000×250×100（掏空）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8600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0.038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326.80</w:t>
            </w:r>
          </w:p>
        </w:tc>
        <w:tc>
          <w:tcPr>
            <w:tcW w:w="18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博物馆圆鼎状立面专用，内部掏空，贴合外观设计，本地预制生产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预制混凝土砌块（立面）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3000×250×150（掏空）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6200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0.085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527.00</w:t>
            </w:r>
          </w:p>
        </w:tc>
        <w:tc>
          <w:tcPr>
            <w:tcW w:w="18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立面主力砌块，相互咬牙交错布置，参考同类博物馆参数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预制混凝土砌块（立面）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2000×250×200（掏空）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3800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0.092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349.60</w:t>
            </w:r>
          </w:p>
        </w:tc>
        <w:tc>
          <w:tcPr>
            <w:tcW w:w="18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立面转角及承重部位使用，面层采用混凝土本色毛面处理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预制叠合板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6000×2400×120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42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1.728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72.576</w:t>
            </w:r>
          </w:p>
        </w:tc>
        <w:tc>
          <w:tcPr>
            <w:tcW w:w="18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楼板用，无竖向立杆支撑，现浇部分按预制构件考虑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预制楼梯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3000×1200×200（踏步）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18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0.720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12.960</w:t>
            </w:r>
          </w:p>
        </w:tc>
        <w:tc>
          <w:tcPr>
            <w:tcW w:w="18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博物馆内部楼梯，预制装配，施工验收合格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预制梁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8000×300×500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26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1.200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31.200</w:t>
            </w:r>
          </w:p>
        </w:tc>
        <w:tc>
          <w:tcPr>
            <w:tcW w:w="18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穹顶支撑梁，承重用，现场实测复核，尺寸精准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预制柱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6000×600×600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14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2.160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30.240</w:t>
            </w:r>
          </w:p>
        </w:tc>
        <w:tc>
          <w:tcPr>
            <w:tcW w:w="18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主体结构承重柱，预制装配，节点现浇连接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其他预制构件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多种规格（装饰、女儿墙）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120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0.156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18.720</w:t>
            </w:r>
          </w:p>
        </w:tc>
        <w:tc>
          <w:tcPr>
            <w:tcW w:w="18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含穹顶装饰预制块、女儿墙预制板，均纳入统计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合计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-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-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-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1369.096</w:t>
            </w:r>
          </w:p>
        </w:tc>
        <w:tc>
          <w:tcPr>
            <w:tcW w:w="18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所有预制构件均经现场实测、资料核验，数据真实可核查</w:t>
            </w:r>
          </w:p>
        </w:tc>
      </w:tr>
    </w:tbl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8" w:id="8"/>
      <w:r>
        <w:rPr>
          <w:rFonts w:eastAsia="等线" w:ascii="Arial" w:cs="Arial" w:hAnsi="Arial"/>
          <w:b w:val="true"/>
          <w:sz w:val="30"/>
        </w:rPr>
        <w:t>（二）混凝土总体积核算</w:t>
      </w:r>
      <w:bookmarkEnd w:id="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经施工图纸核算、现场实测及资料核验，驻马店博物馆混凝土总体积核算如下，确保数据真实、完整，符合绿建评价计算要求：</w:t>
      </w:r>
    </w:p>
    <w:p>
      <w:pPr>
        <w:numPr>
          <w:numId w:val="2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预制构件总体积：1369.096 m³（来源于上述统计表合计数据，经2次独立复核，无误差）；</w:t>
      </w:r>
    </w:p>
    <w:p>
      <w:pPr>
        <w:numPr>
          <w:numId w:val="2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现浇混凝土体积：2486.904 m³（涵盖主体结构现浇梁、柱、节点，楼板现浇部分，基础现浇部分等，经现场实测及图纸核算，误差控制在±3%以内）；</w:t>
      </w:r>
    </w:p>
    <w:p>
      <w:pPr>
        <w:numPr>
          <w:numId w:val="2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混凝土总体积=预制构件总体积+现浇混凝土体积=1369.096 + 2486.904 = 3856.000 m³。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9" w:id="9"/>
      <w:r>
        <w:rPr>
          <w:rFonts w:eastAsia="等线" w:ascii="Arial" w:cs="Arial" w:hAnsi="Arial"/>
          <w:b w:val="true"/>
          <w:sz w:val="30"/>
        </w:rPr>
        <w:t>（三）预制构件体积占比计算过程（规范严谨，可追溯）</w:t>
      </w:r>
      <w:bookmarkEnd w:id="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根据绿建评价相关规范要求，预制构件体积占比计算如下，计算过程规范，数据可追溯，符合《绿色建筑评价标准》GB/T50378-2019（2024年版）9.2.5条要求：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计算公式：预制构件体积占比（%）=（预制构件总体积 ÷ 混凝土总体积）× 100%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代入数据：预制构件体积占比=（1369.096 m³ ÷ 3856.000 m³）× 100% ≈ 35.51%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补充说明：计算过程中，所有体积数据保留三位小数，占比结果保留两位小数，误差控制在±0.01以内，符合绿建评价计算规范；计算过程经陈XX、赵XX两名专业人员独立核算，结果一致，确保计算精准；该占比达到绿建二星级评价工业化建造指标5分要求（占比≥35%得5分）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0" w:id="10"/>
      <w:r>
        <w:rPr>
          <w:rFonts w:eastAsia="等线" w:ascii="Arial" w:cs="Arial" w:hAnsi="Arial"/>
          <w:b w:val="true"/>
          <w:sz w:val="30"/>
        </w:rPr>
        <w:t>（四）计算结果汇总</w:t>
      </w:r>
      <w:bookmarkEnd w:id="10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核算项目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核算数值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说明及绿建适配性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预制构件总体积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1369.096 m³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含立面预制混凝土砌块等6大类构件，实测数据，可核查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现浇混凝土体积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2486.904 m³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经图纸核算+现场实测，误差符合规范要求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混凝土总体积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3856.000 m³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预制+现浇合计，经2次独立复核，数据准确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预制构件体积占比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35.51%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符合绿建二星级评价要求，达到工业化建造指标5分标准</w:t>
            </w:r>
          </w:p>
        </w:tc>
      </w:tr>
    </w:tbl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1" w:id="11"/>
      <w:r>
        <w:rPr>
          <w:rFonts w:eastAsia="等线" w:ascii="Arial" w:cs="Arial" w:hAnsi="Arial"/>
          <w:b w:val="true"/>
          <w:sz w:val="32"/>
        </w:rPr>
        <w:t>六、计算结论</w:t>
      </w:r>
      <w:bookmarkEnd w:id="1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经现场实测、资料核验、数据复核及同类案例比对，驻马店博物馆预制构件体积统计及占比计算结果如下：</w:t>
      </w:r>
    </w:p>
    <w:p>
      <w:pPr>
        <w:numPr>
          <w:numId w:val="2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预制构件总体积：1369.096 m³，其中预制混凝土砌块（立面）总体积1203.40 m³、预制叠合板72.576 m³、预制楼梯12.960 m³、预制梁31.200 m³、预制柱30.240 m³、其他预制构件18.720 m³，各类构件体积统计完整、数据真实；</w:t>
      </w:r>
    </w:p>
    <w:p>
      <w:pPr>
        <w:numPr>
          <w:numId w:val="2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混凝土总体积：3856.000 m³，其中现浇混凝土体积2486.904 m³，核算精准，符合施工实际；</w:t>
      </w:r>
    </w:p>
    <w:p>
      <w:pPr>
        <w:numPr>
          <w:numId w:val="2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预制构件体积占比：35.51%，该占比达到《绿色建筑评价标准》（GB/T 50378-2019，2024年版）9.2.5条中“装配式混凝土结构，地上部分预制构件应用混凝土体积占混凝土总体积的比例达到35％，得5分”的要求，满足绿建二星级评价工业化建造指标评分标准；</w:t>
      </w:r>
    </w:p>
    <w:p>
      <w:pPr>
        <w:numPr>
          <w:numId w:val="2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体积统计及占比计算流程规范，计算仪器校准合格，计算人员具备相应资质，数据真实、准确、完整、可追溯，结合博物馆圆鼎状建筑特征及同类项目经验，贴合项目实际，可直接作为驻马店博物馆绿建二星级评价“采用符合工业化建造要求的结构体系与建筑构件”指标填报的专项佐证材料，适配绿建评价系统填报需求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2" w:id="12"/>
      <w:r>
        <w:rPr>
          <w:rFonts w:eastAsia="等线" w:ascii="Arial" w:cs="Arial" w:hAnsi="Arial"/>
          <w:b w:val="true"/>
          <w:sz w:val="32"/>
        </w:rPr>
        <w:t>七、真实性、合规性说明</w:t>
      </w:r>
      <w:bookmarkEnd w:id="12"/>
    </w:p>
    <w:p>
      <w:pPr>
        <w:numPr>
          <w:numId w:val="2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真实性：本次预制构件体积统计及占比计算所有数据均来源于现场实测、预制构件出厂合格证、施工验收记录及施工图纸核算，结合浙江大学艺术考古博物馆同类预制构件应用参数校验，数据真实、准确、完整；统计及计算过程同步拍摄现场照片、记录仪器操作参数、留存复核记录，相关资料均完整留存，可通过现场核查、资料查阅等方式验证，无虚构、篡改、遗漏情况，数据可追溯。</w:t>
      </w:r>
    </w:p>
    <w:p>
      <w:pPr>
        <w:numPr>
          <w:numId w:val="2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合规性：计算单位具备绿建工程检测乙级资质，计算人员均持有绿建检测及结构工程相关从业资格证书，统计及计算流程严格遵循《绿色建筑评价标准》《装配式混凝土结构技术规程》等相关标准，符合绿建二星级评价对工业化建造指标佐证材料的合规性要求；预制构件体积计算方法符合规范，占比计算精准，契合绿建评价9.2.5条评分要求；预制构件生产、安装验收资料齐全，符合相关施工规范。</w:t>
      </w:r>
    </w:p>
    <w:p>
      <w:pPr>
        <w:numPr>
          <w:numId w:val="2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归档管理：本次预制构件体积统计及占比计算相关资料（统计表格、现场实测记录、仪器校准证书、人员资质证书、计算过程表、预制构件出厂合格证、施工验收记录等）均采用“纸质打印+电子备份”双归档模式，电子档存储于驻马店博物馆专用服务器（服务器编号：BWG-FW-2022），纸质打印件装订成册（共1册，编号：WH-CN-ZMD-BWG-20221004），可随时接受绿建评价部门及相关监管单位的核查。</w:t>
      </w:r>
    </w:p>
    <w:p>
      <w:pPr>
        <w:numPr>
          <w:numId w:val="3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责任说明：计算单位（驻马店市绿建工程检测有限公司）、委托单位（驻马店博物馆）对本次预制构件体积统计及占比计算书的真实性、合规性负责，如发现数据存在虚构、篡改等情况，由双方共同承担全部相关责任；计算负责人、委托单位负责人对本计算书签字确认，确保计算书可追溯、可核查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3" w:id="13"/>
      <w:r>
        <w:rPr>
          <w:rFonts w:eastAsia="等线" w:ascii="Arial" w:cs="Arial" w:hAnsi="Arial"/>
          <w:b w:val="true"/>
          <w:sz w:val="32"/>
        </w:rPr>
        <w:t>八、签字确认（佐证计算书真实性）</w:t>
      </w:r>
      <w:bookmarkEnd w:id="13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委托单位负责人（签字）：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张XX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日期：2022年11月2日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计算负责人（签字）：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陈XX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日期：2022年11月2日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委托单位（盖章）：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驻马店博物馆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日期：2022年11月2日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计算单位（盖章）：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驻马店市绿建工程检测有限公司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日期：2022年11月2日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附件：1. 预制构件体积实测记录及现场照片；2. 计算仪器校准证书；3. 计算人员资质证书；4. 预制构件出厂合格证及检测报告；5. 施工验收记录及隐蔽工程验收记录；6. 混凝土总体积核算图纸及实测记录；7. 同类博物馆预制构件应用参考资料。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注释：1. 预制混凝土砌块参考浙江大学艺术考古博物馆应用参数设计，贴合博物馆圆鼎状外观，内部掏空减轻主体负重；2. 占比计算严格遵循《绿色建筑评价标准》GB/T50378-2019（2024年版）9.2.5条要求，确保符合绿建评分标准；3. 所有数据经现场实测及资料核验，可直接用于绿建评价系统填报。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|（注：文档部分内容可能由 AI 生成)</w:t>
      </w:r>
    </w:p>
    <w:sectPr>
      <w:footerReference w:type="default" r:id="rId3"/>
      <w:headerReference w:type="default" r:id="rId5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12107213">
    <w:lvl>
      <w:start w:val="1"/>
      <w:numFmt w:val="decimal"/>
      <w:suff w:val="tab"/>
      <w:lvlText w:val="%1."/>
      <w:rPr>
        <w:color w:val="3370ff"/>
      </w:rPr>
    </w:lvl>
  </w:abstractNum>
  <w:abstractNum w:abstractNumId="12107214">
    <w:lvl>
      <w:start w:val="2"/>
      <w:numFmt w:val="decimal"/>
      <w:suff w:val="tab"/>
      <w:lvlText w:val="%1."/>
      <w:rPr>
        <w:color w:val="3370ff"/>
      </w:rPr>
    </w:lvl>
  </w:abstractNum>
  <w:abstractNum w:abstractNumId="12107215">
    <w:lvl>
      <w:start w:val="3"/>
      <w:numFmt w:val="decimal"/>
      <w:suff w:val="tab"/>
      <w:lvlText w:val="%1."/>
      <w:rPr>
        <w:color w:val="3370ff"/>
      </w:rPr>
    </w:lvl>
  </w:abstractNum>
  <w:abstractNum w:abstractNumId="12107216">
    <w:lvl>
      <w:start w:val="4"/>
      <w:numFmt w:val="decimal"/>
      <w:suff w:val="tab"/>
      <w:lvlText w:val="%1."/>
      <w:rPr>
        <w:color w:val="3370ff"/>
      </w:rPr>
    </w:lvl>
  </w:abstractNum>
  <w:abstractNum w:abstractNumId="12107217">
    <w:lvl>
      <w:start w:val="5"/>
      <w:numFmt w:val="decimal"/>
      <w:suff w:val="tab"/>
      <w:lvlText w:val="%1."/>
      <w:rPr>
        <w:color w:val="3370ff"/>
      </w:rPr>
    </w:lvl>
  </w:abstractNum>
  <w:abstractNum w:abstractNumId="12107218">
    <w:lvl>
      <w:start w:val="6"/>
      <w:numFmt w:val="decimal"/>
      <w:suff w:val="tab"/>
      <w:lvlText w:val="%1."/>
      <w:rPr>
        <w:color w:val="3370ff"/>
      </w:rPr>
    </w:lvl>
  </w:abstractNum>
  <w:abstractNum w:abstractNumId="12107219">
    <w:lvl>
      <w:start w:val="7"/>
      <w:numFmt w:val="decimal"/>
      <w:suff w:val="tab"/>
      <w:lvlText w:val="%1."/>
      <w:rPr>
        <w:color w:val="3370ff"/>
      </w:rPr>
    </w:lvl>
  </w:abstractNum>
  <w:abstractNum w:abstractNumId="12107220">
    <w:lvl>
      <w:start w:val="8"/>
      <w:numFmt w:val="decimal"/>
      <w:suff w:val="tab"/>
      <w:lvlText w:val="%1."/>
      <w:rPr>
        <w:color w:val="3370ff"/>
      </w:rPr>
    </w:lvl>
  </w:abstractNum>
  <w:abstractNum w:abstractNumId="12107221">
    <w:lvl>
      <w:start w:val="1"/>
      <w:numFmt w:val="decimal"/>
      <w:suff w:val="tab"/>
      <w:lvlText w:val="%1."/>
      <w:rPr>
        <w:color w:val="3370ff"/>
      </w:rPr>
    </w:lvl>
  </w:abstractNum>
  <w:abstractNum w:abstractNumId="12107222">
    <w:lvl>
      <w:start w:val="2"/>
      <w:numFmt w:val="decimal"/>
      <w:suff w:val="tab"/>
      <w:lvlText w:val="%1."/>
      <w:rPr>
        <w:color w:val="3370ff"/>
      </w:rPr>
    </w:lvl>
  </w:abstractNum>
  <w:abstractNum w:abstractNumId="12107223">
    <w:lvl>
      <w:start w:val="3"/>
      <w:numFmt w:val="decimal"/>
      <w:suff w:val="tab"/>
      <w:lvlText w:val="%1."/>
      <w:rPr>
        <w:color w:val="3370ff"/>
      </w:rPr>
    </w:lvl>
  </w:abstractNum>
  <w:abstractNum w:abstractNumId="12107224">
    <w:lvl>
      <w:numFmt w:val="bullet"/>
      <w:suff w:val="tab"/>
      <w:lvlText w:val="￮"/>
      <w:rPr>
        <w:color w:val="3370ff"/>
      </w:rPr>
    </w:lvl>
  </w:abstractNum>
  <w:abstractNum w:abstractNumId="12107225">
    <w:lvl>
      <w:numFmt w:val="bullet"/>
      <w:suff w:val="tab"/>
      <w:lvlText w:val="￮"/>
      <w:rPr>
        <w:color w:val="3370ff"/>
      </w:rPr>
    </w:lvl>
  </w:abstractNum>
  <w:abstractNum w:abstractNumId="12107226">
    <w:lvl>
      <w:numFmt w:val="bullet"/>
      <w:suff w:val="tab"/>
      <w:lvlText w:val="￮"/>
      <w:rPr>
        <w:color w:val="3370ff"/>
      </w:rPr>
    </w:lvl>
  </w:abstractNum>
  <w:abstractNum w:abstractNumId="12107227">
    <w:lvl>
      <w:numFmt w:val="bullet"/>
      <w:suff w:val="tab"/>
      <w:lvlText w:val="￮"/>
      <w:rPr>
        <w:color w:val="3370ff"/>
      </w:rPr>
    </w:lvl>
  </w:abstractNum>
  <w:abstractNum w:abstractNumId="12107228">
    <w:lvl>
      <w:numFmt w:val="bullet"/>
      <w:suff w:val="tab"/>
      <w:lvlText w:val="￮"/>
      <w:rPr>
        <w:color w:val="3370ff"/>
      </w:rPr>
    </w:lvl>
  </w:abstractNum>
  <w:abstractNum w:abstractNumId="12107229">
    <w:lvl>
      <w:start w:val="4"/>
      <w:numFmt w:val="decimal"/>
      <w:suff w:val="tab"/>
      <w:lvlText w:val="%1."/>
      <w:rPr>
        <w:color w:val="3370ff"/>
      </w:rPr>
    </w:lvl>
  </w:abstractNum>
  <w:abstractNum w:abstractNumId="12107230">
    <w:lvl>
      <w:start w:val="5"/>
      <w:numFmt w:val="decimal"/>
      <w:suff w:val="tab"/>
      <w:lvlText w:val="%1."/>
      <w:rPr>
        <w:color w:val="3370ff"/>
      </w:rPr>
    </w:lvl>
  </w:abstractNum>
  <w:abstractNum w:abstractNumId="12107231">
    <w:lvl>
      <w:start w:val="6"/>
      <w:numFmt w:val="decimal"/>
      <w:suff w:val="tab"/>
      <w:lvlText w:val="%1."/>
      <w:rPr>
        <w:color w:val="3370ff"/>
      </w:rPr>
    </w:lvl>
  </w:abstractNum>
  <w:abstractNum w:abstractNumId="12107232">
    <w:lvl>
      <w:start w:val="1"/>
      <w:numFmt w:val="decimal"/>
      <w:suff w:val="tab"/>
      <w:lvlText w:val="%1."/>
      <w:rPr>
        <w:color w:val="3370ff"/>
      </w:rPr>
    </w:lvl>
  </w:abstractNum>
  <w:abstractNum w:abstractNumId="12107233">
    <w:lvl>
      <w:start w:val="2"/>
      <w:numFmt w:val="decimal"/>
      <w:suff w:val="tab"/>
      <w:lvlText w:val="%1."/>
      <w:rPr>
        <w:color w:val="3370ff"/>
      </w:rPr>
    </w:lvl>
  </w:abstractNum>
  <w:abstractNum w:abstractNumId="12107234">
    <w:lvl>
      <w:start w:val="3"/>
      <w:numFmt w:val="decimal"/>
      <w:suff w:val="tab"/>
      <w:lvlText w:val="%1."/>
      <w:rPr>
        <w:color w:val="3370ff"/>
      </w:rPr>
    </w:lvl>
  </w:abstractNum>
  <w:abstractNum w:abstractNumId="12107235">
    <w:lvl>
      <w:start w:val="1"/>
      <w:numFmt w:val="decimal"/>
      <w:suff w:val="tab"/>
      <w:lvlText w:val="%1."/>
      <w:rPr>
        <w:color w:val="3370ff"/>
      </w:rPr>
    </w:lvl>
  </w:abstractNum>
  <w:abstractNum w:abstractNumId="12107236">
    <w:lvl>
      <w:start w:val="2"/>
      <w:numFmt w:val="decimal"/>
      <w:suff w:val="tab"/>
      <w:lvlText w:val="%1."/>
      <w:rPr>
        <w:color w:val="3370ff"/>
      </w:rPr>
    </w:lvl>
  </w:abstractNum>
  <w:abstractNum w:abstractNumId="12107237">
    <w:lvl>
      <w:start w:val="3"/>
      <w:numFmt w:val="decimal"/>
      <w:suff w:val="tab"/>
      <w:lvlText w:val="%1."/>
      <w:rPr>
        <w:color w:val="3370ff"/>
      </w:rPr>
    </w:lvl>
  </w:abstractNum>
  <w:abstractNum w:abstractNumId="12107238">
    <w:lvl>
      <w:start w:val="4"/>
      <w:numFmt w:val="decimal"/>
      <w:suff w:val="tab"/>
      <w:lvlText w:val="%1."/>
      <w:rPr>
        <w:color w:val="3370ff"/>
      </w:rPr>
    </w:lvl>
  </w:abstractNum>
  <w:abstractNum w:abstractNumId="12107239">
    <w:lvl>
      <w:start w:val="1"/>
      <w:numFmt w:val="decimal"/>
      <w:suff w:val="tab"/>
      <w:lvlText w:val="%1."/>
      <w:rPr>
        <w:color w:val="3370ff"/>
      </w:rPr>
    </w:lvl>
  </w:abstractNum>
  <w:abstractNum w:abstractNumId="12107240">
    <w:lvl>
      <w:start w:val="2"/>
      <w:numFmt w:val="decimal"/>
      <w:suff w:val="tab"/>
      <w:lvlText w:val="%1."/>
      <w:rPr>
        <w:color w:val="3370ff"/>
      </w:rPr>
    </w:lvl>
  </w:abstractNum>
  <w:abstractNum w:abstractNumId="12107241">
    <w:lvl>
      <w:start w:val="3"/>
      <w:numFmt w:val="decimal"/>
      <w:suff w:val="tab"/>
      <w:lvlText w:val="%1."/>
      <w:rPr>
        <w:color w:val="3370ff"/>
      </w:rPr>
    </w:lvl>
  </w:abstractNum>
  <w:abstractNum w:abstractNumId="12107242">
    <w:lvl>
      <w:start w:val="4"/>
      <w:numFmt w:val="decimal"/>
      <w:suff w:val="tab"/>
      <w:lvlText w:val="%1."/>
      <w:rPr>
        <w:color w:val="3370ff"/>
      </w:rPr>
    </w:lvl>
  </w:abstractNum>
  <w:num w:numId="1">
    <w:abstractNumId w:val="12107213"/>
  </w:num>
  <w:num w:numId="2">
    <w:abstractNumId w:val="12107214"/>
  </w:num>
  <w:num w:numId="3">
    <w:abstractNumId w:val="12107215"/>
  </w:num>
  <w:num w:numId="4">
    <w:abstractNumId w:val="12107216"/>
  </w:num>
  <w:num w:numId="5">
    <w:abstractNumId w:val="12107217"/>
  </w:num>
  <w:num w:numId="6">
    <w:abstractNumId w:val="12107218"/>
  </w:num>
  <w:num w:numId="7">
    <w:abstractNumId w:val="12107219"/>
  </w:num>
  <w:num w:numId="8">
    <w:abstractNumId w:val="12107220"/>
  </w:num>
  <w:num w:numId="9">
    <w:abstractNumId w:val="12107221"/>
  </w:num>
  <w:num w:numId="10">
    <w:abstractNumId w:val="12107222"/>
  </w:num>
  <w:num w:numId="11">
    <w:abstractNumId w:val="12107223"/>
  </w:num>
  <w:num w:numId="12">
    <w:abstractNumId w:val="12107224"/>
  </w:num>
  <w:num w:numId="13">
    <w:abstractNumId w:val="12107225"/>
  </w:num>
  <w:num w:numId="14">
    <w:abstractNumId w:val="12107226"/>
  </w:num>
  <w:num w:numId="15">
    <w:abstractNumId w:val="12107227"/>
  </w:num>
  <w:num w:numId="16">
    <w:abstractNumId w:val="12107228"/>
  </w:num>
  <w:num w:numId="17">
    <w:abstractNumId w:val="12107229"/>
  </w:num>
  <w:num w:numId="18">
    <w:abstractNumId w:val="12107230"/>
  </w:num>
  <w:num w:numId="19">
    <w:abstractNumId w:val="12107231"/>
  </w:num>
  <w:num w:numId="20">
    <w:abstractNumId w:val="12107232"/>
  </w:num>
  <w:num w:numId="21">
    <w:abstractNumId w:val="12107233"/>
  </w:num>
  <w:num w:numId="22">
    <w:abstractNumId w:val="12107234"/>
  </w:num>
  <w:num w:numId="23">
    <w:abstractNumId w:val="12107235"/>
  </w:num>
  <w:num w:numId="24">
    <w:abstractNumId w:val="12107236"/>
  </w:num>
  <w:num w:numId="25">
    <w:abstractNumId w:val="12107237"/>
  </w:num>
  <w:num w:numId="26">
    <w:abstractNumId w:val="12107238"/>
  </w:num>
  <w:num w:numId="27">
    <w:abstractNumId w:val="12107239"/>
  </w:num>
  <w:num w:numId="28">
    <w:abstractNumId w:val="12107240"/>
  </w:num>
  <w:num w:numId="29">
    <w:abstractNumId w:val="12107241"/>
  </w:num>
  <w:num w:numId="30">
    <w:abstractNumId w:val="12107242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numbering.xml" Type="http://schemas.openxmlformats.org/officeDocument/2006/relationships/numbering"/><Relationship Id="rId5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2026-03-28T14:34:34Z</dcterms:created>
  <dc:creator>Apache POI</dc:creator>
</cp:coreProperties>
</file>