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风机单位风量耗功率及输配系统能耗分析报告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建筑性质</w:t>
      </w:r>
      <w:r>
        <w:rPr>
          <w:rFonts w:ascii="Arial" w:hAnsi="Arial" w:eastAsia="等线" w:cs="Arial"/>
          <w:sz w:val="22"/>
        </w:rPr>
        <w:t>：公共文化建筑（博物馆）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气候分区</w:t>
      </w:r>
      <w:r>
        <w:rPr>
          <w:rFonts w:ascii="Arial" w:hAnsi="Arial" w:eastAsia="等线" w:cs="Arial"/>
          <w:sz w:val="22"/>
        </w:rPr>
        <w:t>：寒冷B区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计算软件</w:t>
      </w:r>
      <w:r>
        <w:rPr>
          <w:rFonts w:ascii="Arial" w:hAnsi="Arial" w:eastAsia="等线" w:cs="Arial"/>
          <w:sz w:val="22"/>
        </w:rPr>
        <w:t>：天正暖通2025、绿建节能计算平台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：LJ-PE-2026-042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编制日期</w:t>
      </w:r>
      <w:r>
        <w:rPr>
          <w:rFonts w:ascii="Arial" w:hAnsi="Arial" w:eastAsia="等线" w:cs="Arial"/>
          <w:sz w:val="22"/>
        </w:rPr>
        <w:t>：2026年03月24日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一、评价依据与评分规则</w:t>
      </w:r>
      <w:bookmarkEnd w:id="0"/>
    </w:p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编制依据</w:t>
      </w:r>
      <w:bookmarkEnd w:id="1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 50378-2019（2024年版）相关条款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《公共建筑节能设计标准》GB 50189-2015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《民用建筑供暖通风与空气调节设计规范》GB 50736-2012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本项目暖通专业施工图纸、设备选型台账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风机、水泵设备检测报告及性能参数表</w:t>
      </w:r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绿建评分规则（总分5分，累计计分）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采取有效措施降低供暖空调末端及输配系统能耗，按以下规则分别评分并累计：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通风空调系统风机的</w:t>
      </w:r>
      <w:r>
        <w:rPr>
          <w:rFonts w:ascii="Arial" w:hAnsi="Arial" w:eastAsia="等线" w:cs="Arial"/>
          <w:b/>
          <w:sz w:val="22"/>
        </w:rPr>
        <w:t>单位风量耗功率</w:t>
      </w:r>
      <w:r>
        <w:rPr>
          <w:rFonts w:ascii="Arial" w:hAnsi="Arial" w:eastAsia="等线" w:cs="Arial"/>
          <w:sz w:val="22"/>
        </w:rPr>
        <w:t>，比GB 50189规定值低20%，得</w:t>
      </w:r>
      <w:r>
        <w:rPr>
          <w:rFonts w:ascii="Arial" w:hAnsi="Arial" w:eastAsia="等线" w:cs="Arial"/>
          <w:b/>
          <w:sz w:val="22"/>
        </w:rPr>
        <w:t>2分</w:t>
      </w:r>
      <w:r>
        <w:rPr>
          <w:rFonts w:ascii="Arial" w:hAnsi="Arial" w:eastAsia="等线" w:cs="Arial"/>
          <w:sz w:val="22"/>
        </w:rPr>
        <w:t>；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集中供暖热水循环泵耗电输热比、空调冷热水循环泵耗电输冷（热）比，比GB 50736规定值低20%，得</w:t>
      </w:r>
      <w:r>
        <w:rPr>
          <w:rFonts w:ascii="Arial" w:hAnsi="Arial" w:eastAsia="等线" w:cs="Arial"/>
          <w:b/>
          <w:sz w:val="22"/>
        </w:rPr>
        <w:t>3分</w:t>
      </w:r>
      <w:r>
        <w:rPr>
          <w:rFonts w:ascii="Arial" w:hAnsi="Arial" w:eastAsia="等线" w:cs="Arial"/>
          <w:sz w:val="22"/>
        </w:rPr>
        <w:t>。</w:t>
      </w:r>
    </w:p>
    <w:p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二、风机单位风量耗功率核算</w:t>
      </w:r>
      <w:bookmarkEnd w:id="3"/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2.1 核算标准与公式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依据《公共建筑节能设计标准》GB 50189-2015，风机单位风量耗功率（Ws）计算公式：</w:t>
      </w:r>
    </w:p>
    <w:p>
      <w:pPr>
        <w:spacing w:before="120" w:after="120" w:line="288" w:lineRule="auto"/>
        <w:ind w:left="0"/>
        <w:jc w:val="left"/>
      </w:pPr>
      <m:oMathPara>
        <m:oMath>
          <m:sSub>
            <m:sSubPr/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>=</m:t>
          </m:r>
          <m:f>
            <m:fPr/>
            <m:num>
              <m:r>
                <w:rPr>
                  <w:rFonts w:ascii="Cambria Math" w:hAnsi="Cambria Math"/>
                </w:rPr>
                <m:t>N</m:t>
              </m:r>
            </m:num>
            <m:den>
              <m:r>
                <w:rPr>
                  <w:rFonts w:ascii="Cambria Math" w:hAnsi="Cambria Math"/>
                </w:rPr>
                <m:t>V</m:t>
              </m:r>
            </m:den>
          </m:f>
          <m:r>
            <w:rPr>
              <w:rFonts w:ascii="Cambria Math" w:hAnsi="Cambria Math"/>
            </w:rPr>
            <m:t>×η</m:t>
          </m:r>
        </m:oMath>
      </m:oMathPara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式中：N—风机额定功率（kW）；V—风机风量（m³/h）；η—风机效率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核算要求：设计值较国标限值低20%及以上，得2分</w:t>
      </w:r>
    </w:p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2.2 风机选型与限值对比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风机类型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国标限值Ws(W/(m³/h))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本项目设计值Ws(W/(m³/h))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降低比例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达标判定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送排风风机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0.254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20.63%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达标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空调新风风机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0.223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20.36%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达标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排烟兼排风风机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0.278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20.57%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达标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本项目各类通风空调风机单位风量耗功率平均值较国标限值降低</w:t>
      </w:r>
      <w:r>
        <w:rPr>
          <w:rFonts w:ascii="Arial" w:hAnsi="Arial" w:eastAsia="等线" w:cs="Arial"/>
          <w:b/>
          <w:sz w:val="22"/>
        </w:rPr>
        <w:t>2分3分5分（满分）5分满分</w:t>
      </w:r>
    </w:p>
    <w:p>
      <w:pPr>
        <w:spacing w:before="120" w:after="120" w:line="288" w:lineRule="auto"/>
        <w:ind w:left="0"/>
        <w:jc w:val="left"/>
      </w:pPr>
      <w:bookmarkStart w:id="6" w:name="_GoBack"/>
      <w:bookmarkEnd w:id="6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03D62ECE"/>
    <w:multiLevelType w:val="singleLevel"/>
    <w:tmpl w:val="03D62EC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">
    <w:nsid w:val="25B654F3"/>
    <w:multiLevelType w:val="singleLevel"/>
    <w:tmpl w:val="25B654F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4792D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2026-03-24T10:39:00Z</dcterms:created>
  <dc:creator>Apache POI</dc:creator>
  <cp:lastModifiedBy>hp</cp:lastModifiedBy>
  <dcterms:modified xsi:type="dcterms:W3CDTF">2026-03-24T10:39:40Z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