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1"/>
      <w:r>
        <w:rPr>
          <w:rFonts w:ascii="宋体" w:hAnsi="宋体" w:cs="宋体" w:eastAsia="宋体"/>
          <w:sz w:val="24"/>
          <w:spacing w:val="0"/>
          <w:b w:val="off"/>
          <w:i w:val="off"/>
        </w:rPr>
        <w:t>没问题，根据你的需求，我为你撰写了《驻马店博物馆BIM竣工文件》的“项目概况篇”。这部分内容结合了驻马店的地域文化特色，重点突出了绿色建筑与BIM技术的融合，你可以直接将其纳入正式文档中：</w:t>
      </w:r>
      <w:bookmarkEnd w:id="100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2"/>
      <w:r>
        <w:rPr>
          <w:rFonts w:ascii="宋体" w:hAnsi="宋体" w:cs="宋体" w:eastAsia="宋体"/>
          <w:sz w:val="24"/>
          <w:spacing w:val="0"/>
          <w:b w:val="on"/>
          <w:i w:val="off"/>
        </w:rPr>
        <w:t>驻马店博物馆BIM设计竣工文件</w:t>
      </w:r>
      <w:bookmarkEnd w:id="1002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3"/>
      <w:r>
        <w:rPr>
          <w:rFonts w:ascii="宋体" w:hAnsi="宋体" w:cs="宋体" w:eastAsia="宋体"/>
          <w:sz w:val="24"/>
          <w:spacing w:val="0"/>
          <w:b w:val="on"/>
          <w:i w:val="off"/>
        </w:rPr>
        <w:t>项目名称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：驻马店博物馆新馆建设项目</w:t>
      </w:r>
      <w:bookmarkEnd w:id="1003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4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编制单位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：[设计院名称]建筑设计研究院</w:t>
      </w:r>
      <w:bookmarkEnd w:id="1004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5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编制时间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：[具体日期]</w:t>
      </w:r>
      <w:bookmarkEnd w:id="1005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6"/>
      <w:r>
        <w:rPr>
          <w:rFonts w:ascii="宋体" w:hAnsi="宋体" w:cs="宋体" w:eastAsia="宋体"/>
          <w:sz w:val="24"/>
          <w:spacing w:val="0"/>
          <w:b w:val="on"/>
          <w:i w:val="off"/>
        </w:rPr>
        <w:t>一、项目基本信息</w:t>
      </w:r>
      <w:bookmarkEnd w:id="1006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7"/>
      <w:r>
        <w:rPr>
          <w:rFonts w:ascii="宋体" w:hAnsi="宋体" w:cs="宋体" w:eastAsia="宋体"/>
          <w:sz w:val="24"/>
          <w:spacing w:val="0"/>
          <w:b w:val="on"/>
          <w:i w:val="off"/>
        </w:rPr>
        <w:t>项目位置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：河南省驻马店市驿城区金顶山路与纬十路交叉口（驻马店市文化中心核心区）</w:t>
      </w:r>
      <w:bookmarkEnd w:id="1007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8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建设单位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：驻马店市文化旅游投资集团有限公司</w:t>
      </w:r>
      <w:bookmarkEnd w:id="1008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9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项目性质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：公共建筑（博物馆类）</w:t>
      </w:r>
      <w:bookmarkEnd w:id="100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0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用地面积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：65,000平方米</w:t>
      </w:r>
      <w:bookmarkEnd w:id="1010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1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总建筑面积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：48,500平方米（其中地上建筑面积32,000平方米，地下建筑面积16,500平方米）</w:t>
      </w:r>
      <w:bookmarkEnd w:id="101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2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建筑高度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：地上主体最高点36.8米</w:t>
      </w:r>
      <w:bookmarkEnd w:id="1012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3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建筑层数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：地上5层，地下2层</w:t>
      </w:r>
      <w:bookmarkEnd w:id="1013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4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设计使用年限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：50年</w:t>
      </w:r>
      <w:bookmarkEnd w:id="1014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5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抗震设防烈度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：7度（0.15g）</w:t>
      </w:r>
      <w:bookmarkEnd w:id="1015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6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绿色建筑星级目标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：二星级（依据《绿色建筑评价标准》GB/T 50378-2019）</w:t>
      </w:r>
      <w:bookmarkEnd w:id="1016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7"/>
      <w:r>
        <w:rPr>
          <w:rFonts w:ascii="宋体" w:hAnsi="宋体" w:cs="宋体" w:eastAsia="宋体"/>
          <w:sz w:val="24"/>
          <w:spacing w:val="0"/>
          <w:b w:val="on"/>
          <w:i w:val="off"/>
        </w:rPr>
        <w:t>二、项目背景与定位</w:t>
      </w:r>
      <w:bookmarkEnd w:id="1017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8"/>
      <w:r>
        <w:rPr>
          <w:rFonts w:ascii="宋体" w:hAnsi="宋体" w:cs="宋体" w:eastAsia="宋体"/>
          <w:sz w:val="24"/>
          <w:spacing w:val="0"/>
          <w:b w:val="off"/>
          <w:i w:val="off"/>
        </w:rPr>
        <w:t>驻马店博物馆作为展示天中历史文化的重要窗口，是驻马店市“十四五”期间重点文化基础设施工程。项目选址于城市新区文化轴线，旨在打造集文物收藏、学术研究、社会教育与文化交流于一体的现代化、智能化、生态化公共文化空间。</w:t>
      </w:r>
      <w:bookmarkEnd w:id="1018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9"/>
      <w:r>
        <w:rPr>
          <w:rFonts w:ascii="宋体" w:hAnsi="宋体" w:cs="宋体" w:eastAsia="宋体"/>
          <w:sz w:val="24"/>
          <w:spacing w:val="0"/>
          <w:b w:val="on"/>
          <w:i w:val="off"/>
        </w:rPr>
        <w:t>设计理念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bookmarkEnd w:id="101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0"/>
      <w:r>
        <w:rPr>
          <w:rFonts w:ascii="宋体" w:hAnsi="宋体" w:cs="宋体" w:eastAsia="宋体"/>
          <w:sz w:val="24"/>
          <w:spacing w:val="0"/>
          <w:b w:val="off"/>
          <w:i w:val="off"/>
        </w:rPr>
        <w:t>设计以“天中之鼎，文化之丘”为立意，建筑造型汲取了驻马店厚重的历史文化元素（如冶铁文化、驿站文化），通过现代建筑语汇进行转译。建筑形态犹如一座稳重的青铜方鼎，覆土建筑形式与周边景观公园融为一体，体现了“建筑消隐于自然”的生态理念。</w:t>
      </w:r>
      <w:bookmarkEnd w:id="1020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1"/>
      <w:r>
        <w:rPr>
          <w:rFonts w:ascii="宋体" w:hAnsi="宋体" w:cs="宋体" w:eastAsia="宋体"/>
          <w:sz w:val="24"/>
          <w:spacing w:val="0"/>
          <w:b w:val="on"/>
          <w:i w:val="off"/>
        </w:rPr>
        <w:t>功能定位</w:t>
      </w:r>
      <w:bookmarkEnd w:id="1021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2"/>
      <w:r>
        <w:rPr>
          <w:rFonts w:ascii="宋体" w:hAnsi="宋体" w:cs="宋体" w:eastAsia="宋体"/>
          <w:sz w:val="24"/>
          <w:spacing w:val="0"/>
          <w:b w:val="on"/>
          <w:i w:val="off"/>
        </w:rPr>
        <w:t>展览展示区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：基本陈列厅、专题展厅、临时展厅。</w:t>
      </w:r>
      <w:bookmarkEnd w:id="1022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3"/>
      <w:r>
        <w:rPr>
          <w:rFonts w:ascii="宋体" w:hAnsi="宋体" w:cs="宋体" w:eastAsia="宋体"/>
          <w:sz w:val="24"/>
          <w:spacing w:val="0"/>
          <w:b w:val="on"/>
          <w:i w:val="off"/>
        </w:rPr>
        <w:t>藏品库房区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：文物库房、修复中心、技术用房。</w:t>
      </w:r>
      <w:bookmarkEnd w:id="1023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4"/>
      <w:r>
        <w:rPr>
          <w:rFonts w:ascii="宋体" w:hAnsi="宋体" w:cs="宋体" w:eastAsia="宋体"/>
          <w:sz w:val="24"/>
          <w:spacing w:val="0"/>
          <w:b w:val="on"/>
          <w:i w:val="off"/>
        </w:rPr>
        <w:t>公共服务区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：大厅、报告厅、文创商店、观众餐厅。</w:t>
      </w:r>
      <w:bookmarkEnd w:id="1024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5"/>
      <w:r>
        <w:rPr>
          <w:rFonts w:ascii="宋体" w:hAnsi="宋体" w:cs="宋体" w:eastAsia="宋体"/>
          <w:sz w:val="24"/>
          <w:spacing w:val="0"/>
          <w:b w:val="on"/>
          <w:i w:val="off"/>
        </w:rPr>
        <w:t>行政管理区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：办公区、设备机房。</w:t>
      </w:r>
      <w:bookmarkEnd w:id="1025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6"/>
      <w:r>
        <w:rPr>
          <w:rFonts w:ascii="宋体" w:hAnsi="宋体" w:cs="宋体" w:eastAsia="宋体"/>
          <w:sz w:val="24"/>
          <w:spacing w:val="0"/>
          <w:b w:val="on"/>
          <w:i w:val="off"/>
        </w:rPr>
        <w:t>三、BIM技术应用概况</w:t>
      </w:r>
      <w:bookmarkEnd w:id="1026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7"/>
      <w:r>
        <w:rPr>
          <w:rFonts w:ascii="宋体" w:hAnsi="宋体" w:cs="宋体" w:eastAsia="宋体"/>
          <w:sz w:val="24"/>
          <w:spacing w:val="0"/>
          <w:b w:val="off"/>
          <w:i w:val="off"/>
        </w:rPr>
        <w:t>本项目在设计阶段全面引入BIM（建筑信息模型）技术，作为实现绿色建筑目标和精细化设计的核心工具。</w:t>
      </w:r>
      <w:bookmarkEnd w:id="1027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8"/>
      <w:r>
        <w:rPr>
          <w:rFonts w:ascii="宋体" w:hAnsi="宋体" w:cs="宋体" w:eastAsia="宋体"/>
          <w:sz w:val="24"/>
          <w:spacing w:val="0"/>
          <w:b w:val="on"/>
          <w:i w:val="off"/>
        </w:rPr>
        <w:t>BIM应用目标</w:t>
      </w:r>
      <w:bookmarkEnd w:id="1028"/>
    </w:p>
    <w:p>
      <w:pPr>
        <w:pageBreakBefore w:val="off"/>
        <w:numPr>
          <w:ilvl w:val="0"/>
          <w:numId w:val="2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9"/>
      <w:r>
        <w:rPr>
          <w:rFonts w:ascii="宋体" w:hAnsi="宋体" w:cs="宋体" w:eastAsia="宋体"/>
          <w:sz w:val="24"/>
          <w:spacing w:val="0"/>
          <w:b w:val="on"/>
          <w:i w:val="off"/>
        </w:rPr>
        <w:t>全生命周期协同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：建立从设计、施工到运维的BIM数据传递机制。</w:t>
      </w:r>
      <w:bookmarkEnd w:id="1029"/>
    </w:p>
    <w:p>
      <w:pPr>
        <w:pageBreakBefore w:val="off"/>
        <w:numPr>
          <w:ilvl w:val="0"/>
          <w:numId w:val="2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0"/>
      <w:r>
        <w:rPr>
          <w:rFonts w:ascii="宋体" w:hAnsi="宋体" w:cs="宋体" w:eastAsia="宋体"/>
          <w:sz w:val="24"/>
          <w:spacing w:val="0"/>
          <w:b w:val="on"/>
          <w:i w:val="off"/>
        </w:rPr>
        <w:t>绿色性能模拟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：通过BIM模型进行能耗、采光、通风模拟，优化建筑物理环境。</w:t>
      </w:r>
      <w:bookmarkEnd w:id="1030"/>
    </w:p>
    <w:p>
      <w:pPr>
        <w:pageBreakBefore w:val="off"/>
        <w:numPr>
          <w:ilvl w:val="0"/>
          <w:numId w:val="2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1"/>
      <w:r>
        <w:rPr>
          <w:rFonts w:ascii="宋体" w:hAnsi="宋体" w:cs="宋体" w:eastAsia="宋体"/>
          <w:sz w:val="24"/>
          <w:spacing w:val="0"/>
          <w:b w:val="on"/>
          <w:i w:val="off"/>
        </w:rPr>
        <w:t>管线综合优化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：解决机电、暖通、给排水等专业管线的碰撞问题，减少返工。</w:t>
      </w:r>
      <w:bookmarkEnd w:id="103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2"/>
      <w:r>
        <w:rPr>
          <w:rFonts w:ascii="宋体" w:hAnsi="宋体" w:cs="宋体" w:eastAsia="宋体"/>
          <w:sz w:val="24"/>
          <w:spacing w:val="0"/>
          <w:b w:val="on"/>
          <w:i w:val="off"/>
        </w:rPr>
        <w:t>软件平台与标准</w:t>
      </w:r>
      <w:bookmarkEnd w:id="1032"/>
    </w:p>
    <w:p>
      <w:pPr>
        <w:pageBreakBefore w:val="off"/>
        <w:numPr>
          <w:ilvl w:val="0"/>
          <w:numId w:val="3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3"/>
      <w:r>
        <w:rPr>
          <w:rFonts w:ascii="宋体" w:hAnsi="宋体" w:cs="宋体" w:eastAsia="宋体"/>
          <w:sz w:val="24"/>
          <w:spacing w:val="0"/>
          <w:b w:val="on"/>
          <w:i w:val="off"/>
        </w:rPr>
        <w:t>核心建模软件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：Autodesk Revit 2023, Navisworks Manage。</w:t>
      </w:r>
      <w:bookmarkEnd w:id="1033"/>
    </w:p>
    <w:p>
      <w:pPr>
        <w:pageBreakBefore w:val="off"/>
        <w:numPr>
          <w:ilvl w:val="0"/>
          <w:numId w:val="3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4"/>
      <w:r>
        <w:rPr>
          <w:rFonts w:ascii="宋体" w:hAnsi="宋体" w:cs="宋体" w:eastAsia="宋体"/>
          <w:sz w:val="24"/>
          <w:spacing w:val="0"/>
          <w:b w:val="on"/>
          <w:i w:val="off"/>
        </w:rPr>
        <w:t>协同平台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：BIM 360 / 自建私有云协同平台。</w:t>
      </w:r>
      <w:bookmarkEnd w:id="1034"/>
    </w:p>
    <w:p>
      <w:pPr>
        <w:pageBreakBefore w:val="off"/>
        <w:numPr>
          <w:ilvl w:val="0"/>
          <w:numId w:val="3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5"/>
      <w:r>
        <w:rPr>
          <w:rFonts w:ascii="宋体" w:hAnsi="宋体" w:cs="宋体" w:eastAsia="宋体"/>
          <w:sz w:val="24"/>
          <w:spacing w:val="0"/>
          <w:b w:val="on"/>
          <w:i w:val="off"/>
        </w:rPr>
        <w:t>建模精度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：LOD 300（施工图设计深度）。</w:t>
      </w:r>
      <w:bookmarkEnd w:id="1035"/>
    </w:p>
    <w:p>
      <w:pPr>
        <w:pageBreakBefore w:val="off"/>
        <w:numPr>
          <w:ilvl w:val="0"/>
          <w:numId w:val="3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6"/>
      <w:r>
        <w:rPr>
          <w:rFonts w:ascii="宋体" w:hAnsi="宋体" w:cs="宋体" w:eastAsia="宋体"/>
          <w:sz w:val="24"/>
          <w:spacing w:val="0"/>
          <w:b w:val="on"/>
          <w:i w:val="off"/>
        </w:rPr>
        <w:t>数据标准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：遵循《建筑信息模型设计交付标准》GB/T 51301-2018。</w:t>
      </w:r>
      <w:bookmarkEnd w:id="1036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7"/>
      <w:r>
        <w:rPr>
          <w:rFonts w:ascii="宋体" w:hAnsi="宋体" w:cs="宋体" w:eastAsia="宋体"/>
          <w:sz w:val="24"/>
          <w:spacing w:val="0"/>
          <w:b w:val="on"/>
          <w:i w:val="off"/>
        </w:rPr>
        <w:t>四、绿色建筑设计亮点</w:t>
      </w:r>
      <w:bookmarkEnd w:id="1037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8"/>
      <w:r>
        <w:rPr>
          <w:rFonts w:ascii="宋体" w:hAnsi="宋体" w:cs="宋体" w:eastAsia="宋体"/>
          <w:sz w:val="24"/>
          <w:spacing w:val="0"/>
          <w:b w:val="on"/>
          <w:i w:val="off"/>
        </w:rPr>
        <w:t>节能与能源利用</w:t>
      </w:r>
      <w:bookmarkEnd w:id="1038"/>
    </w:p>
    <w:p>
      <w:pPr>
        <w:pageBreakBefore w:val="off"/>
        <w:numPr>
          <w:ilvl w:val="0"/>
          <w:numId w:val="4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9"/>
      <w:r>
        <w:rPr>
          <w:rFonts w:ascii="宋体" w:hAnsi="宋体" w:cs="宋体" w:eastAsia="宋体"/>
          <w:sz w:val="24"/>
          <w:spacing w:val="0"/>
          <w:b w:val="on"/>
          <w:i w:val="off"/>
        </w:rPr>
        <w:t>围护结构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：外墙采用高性能岩棉保温板（厚度150mm），传热系数K≤0.30 W/(㎡·K)；屋面采用种植屋面+挤塑聚苯板保温，传热系数K≤0.25 W/(㎡·K)。</w:t>
      </w:r>
      <w:bookmarkEnd w:id="1039"/>
    </w:p>
    <w:p>
      <w:pPr>
        <w:pageBreakBefore w:val="off"/>
        <w:numPr>
          <w:ilvl w:val="0"/>
          <w:numId w:val="4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40"/>
      <w:r>
        <w:rPr>
          <w:rFonts w:ascii="宋体" w:hAnsi="宋体" w:cs="宋体" w:eastAsia="宋体"/>
          <w:sz w:val="24"/>
          <w:spacing w:val="0"/>
          <w:b w:val="on"/>
          <w:i w:val="off"/>
        </w:rPr>
        <w:t>外窗系统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：断桥铝合金Low-E中空玻璃窗（6Low-E+12Ar+6），遮阳系数SC≤0.40，气密性等级8级。</w:t>
      </w:r>
      <w:bookmarkEnd w:id="1040"/>
    </w:p>
    <w:p>
      <w:pPr>
        <w:pageBreakBefore w:val="off"/>
        <w:numPr>
          <w:ilvl w:val="0"/>
          <w:numId w:val="4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41"/>
      <w:r>
        <w:rPr>
          <w:rFonts w:ascii="宋体" w:hAnsi="宋体" w:cs="宋体" w:eastAsia="宋体"/>
          <w:sz w:val="24"/>
          <w:spacing w:val="0"/>
          <w:b w:val="on"/>
          <w:i w:val="off"/>
        </w:rPr>
        <w:t>高效机房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：空调系统采用变频多联机与地源热泵复合系统，综合能效比提升20%。</w:t>
      </w:r>
      <w:bookmarkEnd w:id="104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42"/>
      <w:r>
        <w:rPr>
          <w:rFonts w:ascii="宋体" w:hAnsi="宋体" w:cs="宋体" w:eastAsia="宋体"/>
          <w:sz w:val="24"/>
          <w:spacing w:val="0"/>
          <w:b w:val="on"/>
          <w:i w:val="off"/>
        </w:rPr>
        <w:t>室内环境质量</w:t>
      </w:r>
      <w:bookmarkEnd w:id="1042"/>
    </w:p>
    <w:p>
      <w:pPr>
        <w:pageBreakBefore w:val="off"/>
        <w:numPr>
          <w:ilvl w:val="0"/>
          <w:numId w:val="5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43"/>
      <w:r>
        <w:rPr>
          <w:rFonts w:ascii="宋体" w:hAnsi="宋体" w:cs="宋体" w:eastAsia="宋体"/>
          <w:sz w:val="24"/>
          <w:spacing w:val="0"/>
          <w:b w:val="on"/>
          <w:i w:val="off"/>
        </w:rPr>
        <w:t>自然采光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：中庭设置导光管采光系统（共12套），主要展厅采光系数≥3%。</w:t>
      </w:r>
      <w:bookmarkEnd w:id="1043"/>
    </w:p>
    <w:p>
      <w:pPr>
        <w:pageBreakBefore w:val="off"/>
        <w:numPr>
          <w:ilvl w:val="0"/>
          <w:numId w:val="5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44"/>
      <w:r>
        <w:rPr>
          <w:rFonts w:ascii="宋体" w:hAnsi="宋体" w:cs="宋体" w:eastAsia="宋体"/>
          <w:sz w:val="24"/>
          <w:spacing w:val="0"/>
          <w:b w:val="on"/>
          <w:i w:val="off"/>
        </w:rPr>
        <w:t>自然通风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：利用建筑中庭“烟囱效应”组织自然通风，过渡季节通风换气次数≥2次/h。</w:t>
      </w:r>
      <w:bookmarkEnd w:id="1044"/>
    </w:p>
    <w:p>
      <w:pPr>
        <w:pageBreakBefore w:val="off"/>
        <w:numPr>
          <w:ilvl w:val="0"/>
          <w:numId w:val="5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45"/>
      <w:r>
        <w:rPr>
          <w:rFonts w:ascii="宋体" w:hAnsi="宋体" w:cs="宋体" w:eastAsia="宋体"/>
          <w:sz w:val="24"/>
          <w:spacing w:val="0"/>
          <w:b w:val="on"/>
          <w:i w:val="off"/>
        </w:rPr>
        <w:t>声环境控制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：展厅背景噪声控制在NR-30以下，采用吸声吊顶与隔声墙体构造。</w:t>
      </w:r>
      <w:bookmarkEnd w:id="1045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46"/>
      <w:r>
        <w:rPr>
          <w:rFonts w:ascii="宋体" w:hAnsi="宋体" w:cs="宋体" w:eastAsia="宋体"/>
          <w:sz w:val="24"/>
          <w:spacing w:val="0"/>
          <w:b w:val="on"/>
          <w:i w:val="off"/>
        </w:rPr>
        <w:t>节水与水资源利用</w:t>
      </w:r>
      <w:bookmarkEnd w:id="1046"/>
    </w:p>
    <w:p>
      <w:pPr>
        <w:pageBreakBefore w:val="off"/>
        <w:numPr>
          <w:ilvl w:val="0"/>
          <w:numId w:val="6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47"/>
      <w:r>
        <w:rPr>
          <w:rFonts w:ascii="宋体" w:hAnsi="宋体" w:cs="宋体" w:eastAsia="宋体"/>
          <w:sz w:val="24"/>
          <w:spacing w:val="0"/>
          <w:b w:val="on"/>
          <w:i w:val="off"/>
        </w:rPr>
        <w:t>节水器具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：100%采用一级节水器具（感应式水龙头、脚踏阀）。</w:t>
      </w:r>
      <w:bookmarkEnd w:id="1047"/>
    </w:p>
    <w:p>
      <w:pPr>
        <w:pageBreakBefore w:val="off"/>
        <w:numPr>
          <w:ilvl w:val="0"/>
          <w:numId w:val="6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48"/>
      <w:r>
        <w:rPr>
          <w:rFonts w:ascii="宋体" w:hAnsi="宋体" w:cs="宋体" w:eastAsia="宋体"/>
          <w:sz w:val="24"/>
          <w:spacing w:val="0"/>
          <w:b w:val="on"/>
          <w:i w:val="off"/>
        </w:rPr>
        <w:t>雨水回收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：设置雨水收集池（容积200m³），用于室外绿化灌溉与道路冲洗，非传统水源利用率≥15%。</w:t>
      </w:r>
      <w:bookmarkEnd w:id="1048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49"/>
      <w:r>
        <w:rPr>
          <w:rFonts w:ascii="宋体" w:hAnsi="宋体" w:cs="宋体" w:eastAsia="宋体"/>
          <w:sz w:val="24"/>
          <w:spacing w:val="0"/>
          <w:b w:val="on"/>
          <w:i w:val="off"/>
        </w:rPr>
        <w:t>节材与材料资源利用</w:t>
      </w:r>
      <w:bookmarkEnd w:id="1049"/>
    </w:p>
    <w:p>
      <w:pPr>
        <w:pageBreakBefore w:val="off"/>
        <w:numPr>
          <w:ilvl w:val="0"/>
          <w:numId w:val="7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50"/>
      <w:r>
        <w:rPr>
          <w:rFonts w:ascii="宋体" w:hAnsi="宋体" w:cs="宋体" w:eastAsia="宋体"/>
          <w:sz w:val="24"/>
          <w:spacing w:val="0"/>
          <w:b w:val="on"/>
          <w:i w:val="off"/>
        </w:rPr>
        <w:t>高强钢筋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：HRB400级及以上钢筋用量占比≥85%。</w:t>
      </w:r>
      <w:bookmarkEnd w:id="1050"/>
    </w:p>
    <w:p>
      <w:pPr>
        <w:pageBreakBefore w:val="off"/>
        <w:numPr>
          <w:ilvl w:val="0"/>
          <w:numId w:val="7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51"/>
      <w:r>
        <w:rPr>
          <w:rFonts w:ascii="宋体" w:hAnsi="宋体" w:cs="宋体" w:eastAsia="宋体"/>
          <w:sz w:val="24"/>
          <w:spacing w:val="0"/>
          <w:b w:val="on"/>
          <w:i w:val="off"/>
        </w:rPr>
        <w:t>可再循环材料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：利用废弃混凝土、玻璃等作为再生骨料，可再循环材料占比≥10%。</w:t>
      </w:r>
      <w:bookmarkEnd w:id="105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52"/>
      <w:r>
        <w:rPr>
          <w:rFonts w:ascii="宋体" w:hAnsi="宋体" w:cs="宋体" w:eastAsia="宋体"/>
          <w:sz w:val="24"/>
          <w:spacing w:val="0"/>
          <w:b w:val="on"/>
          <w:i w:val="off"/>
        </w:rPr>
        <w:t>五、项目实施成效</w:t>
      </w:r>
      <w:bookmarkEnd w:id="1052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53"/>
      <w:r>
        <w:rPr>
          <w:rFonts w:ascii="宋体" w:hAnsi="宋体" w:cs="宋体" w:eastAsia="宋体"/>
          <w:sz w:val="24"/>
          <w:spacing w:val="0"/>
          <w:b w:val="off"/>
          <w:i w:val="off"/>
        </w:rPr>
        <w:t>通过BIM技术与绿色建筑理念的深度融合，本项目在设计阶段有效解决了复杂空间造型与功能需求的矛盾，实现了以下成效：</w:t>
      </w:r>
      <w:bookmarkEnd w:id="1053"/>
    </w:p>
    <w:p>
      <w:pPr>
        <w:pageBreakBefore w:val="off"/>
        <w:numPr>
          <w:ilvl w:val="0"/>
          <w:numId w:val="8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54"/>
      <w:r>
        <w:rPr>
          <w:rFonts w:ascii="宋体" w:hAnsi="宋体" w:cs="宋体" w:eastAsia="宋体"/>
          <w:sz w:val="24"/>
          <w:spacing w:val="0"/>
          <w:b w:val="on"/>
          <w:i w:val="off"/>
        </w:rPr>
        <w:t>设计优化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：通过碰撞检查发现并解决管线冲突点1,200余处，减少设计变更约30%。</w:t>
      </w:r>
      <w:bookmarkEnd w:id="1054"/>
    </w:p>
    <w:p>
      <w:pPr>
        <w:pageBreakBefore w:val="off"/>
        <w:numPr>
          <w:ilvl w:val="0"/>
          <w:numId w:val="8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55"/>
      <w:r>
        <w:rPr>
          <w:rFonts w:ascii="宋体" w:hAnsi="宋体" w:cs="宋体" w:eastAsia="宋体"/>
          <w:sz w:val="24"/>
          <w:spacing w:val="0"/>
          <w:b w:val="on"/>
          <w:i w:val="off"/>
        </w:rPr>
        <w:t>碳减排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：经模拟计算，建筑全年碳排放强度较基准建筑降低25%。</w:t>
      </w:r>
      <w:bookmarkEnd w:id="1055"/>
    </w:p>
    <w:p>
      <w:pPr>
        <w:pageBreakBefore w:val="off"/>
        <w:numPr>
          <w:ilvl w:val="0"/>
          <w:numId w:val="8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56"/>
      <w:r>
        <w:rPr>
          <w:rFonts w:ascii="宋体" w:hAnsi="宋体" w:cs="宋体" w:eastAsia="宋体"/>
          <w:sz w:val="24"/>
          <w:spacing w:val="0"/>
          <w:b w:val="on"/>
          <w:i w:val="off"/>
        </w:rPr>
        <w:t>运维支持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：交付包含设备参数、维护周期的BIM运维模型，为智慧博物馆建设奠定基础。</w:t>
      </w:r>
      <w:bookmarkEnd w:id="1056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57"/>
      <w:r>
        <w:rPr>
          <w:rFonts w:ascii="宋体" w:hAnsi="宋体" w:cs="宋体" w:eastAsia="宋体"/>
          <w:sz w:val="24"/>
          <w:spacing w:val="0"/>
          <w:b w:val="on"/>
          <w:i w:val="off"/>
        </w:rPr>
        <w:t>六、结语</w:t>
      </w:r>
      <w:bookmarkEnd w:id="1057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58"/>
      <w:r>
        <w:rPr>
          <w:rFonts w:ascii="宋体" w:hAnsi="宋体" w:cs="宋体" w:eastAsia="宋体"/>
          <w:sz w:val="24"/>
          <w:spacing w:val="0"/>
          <w:b w:val="off"/>
          <w:i w:val="off"/>
        </w:rPr>
        <w:t>驻马店博物馆项目不仅是城市文化的地标，更是绿色建造与数字化技术应用的典范。本竣工文件详细记录了BIM模型在项目全周期中的应用数据与成果，为后续的施工深化及智慧运维提供了坚实的数据支撑。</w:t>
      </w:r>
      <w:bookmarkEnd w:id="1058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59"/>
      <w:r>
        <w:rPr>
          <w:rFonts w:ascii="宋体" w:hAnsi="宋体" w:cs="宋体" w:eastAsia="宋体"/>
          <w:sz w:val="24"/>
          <w:spacing w:val="0"/>
          <w:b w:val="on"/>
          <w:i w:val="off"/>
        </w:rPr>
        <w:t>编制人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：[姓名]</w:t>
      </w:r>
      <w:bookmarkEnd w:id="105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60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审核人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：[姓名]</w:t>
      </w:r>
      <w:bookmarkEnd w:id="1060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61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批准人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：[姓名]</w:t>
      </w:r>
      <w:bookmarkEnd w:id="1061"/>
    </w:p>
    <w:sectPr>
      <w:footerReference r:id="rId4"/>
      <w:headerReference r:id="rId5" w:type="default"/>
      <w:pgSz w:w="11900" w:h="15840"/>
      <w:pgMar w:left="1800" w:top="1440" w:right="1800" w:bottom="1440" w:header="720" w:footer="72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2026-03-28T14:45:53Z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JgkVYJlXDHeZzH8REDh2py9c0wZXUosUYGLJUoPRT4I=","ProduceID":"doc_sgs:d6dcef86-7129-4644-a0c7-f67a0232dc1b","ReservedCode2":"JgkVYJlXDHeZzH8REDh2py9c0wZXUosUYGLJUoPRT4I=","PropagateID":"doc_sgs:d6dcef86-7129-4644-a0c7-f67a0232dc1b","ContentProducer":"001191440101MA9Y9T4H7A00000"}</vt:lpwstr>
  </property>
</Properties>
</file>