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绿动空间---基于绿色建筑下的北斗大楼提升改造设计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3546719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546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报告日期：2026年3月29日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项目名称：绿动空间---基于绿色建筑下的北斗大楼提升改造设计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围护结构提高45%或负荷降低23%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23%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应用比例30%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全寿命期单位建筑面积碳排放强为34kgCO2/（m2·a）减碳率34%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