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成都市金牛区双子园商业改造设计《蓉铁暖阳汇·时光对话》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3224332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224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报告日期：2026年3月16日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项目名称：成都市金牛区双子园商业改造设计《蓉铁暖阳汇·时光对话》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50378-2024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围护结构提高10%或负荷降低10%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围护结构提高5%或负荷降低%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绿色建材应用比例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应用比例20%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碳减排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明确全寿命期单位建筑面积碳排放强度，并明确降低碳排放强度的技术措施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全寿命期单位建筑面积碳排放强为20kgCO2/（m2·a）减碳率10%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59.0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83.0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101.0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72.0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770.0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77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因地制宜建设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电力交互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保险产品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jpe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